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0"/>
        <w:gridCol w:w="900"/>
        <w:gridCol w:w="1890"/>
      </w:tblGrid>
      <w:tr w:rsidR="009C755B" w:rsidRPr="00BA10B3" w14:paraId="2DD1899A" w14:textId="611CE88A" w:rsidTr="009C755B">
        <w:tc>
          <w:tcPr>
            <w:tcW w:w="6660" w:type="dxa"/>
          </w:tcPr>
          <w:p w14:paraId="4BF7D09F" w14:textId="7A2202EC"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FD42FA">
              <w:rPr>
                <w:rFonts w:ascii="Arial" w:hAnsi="Arial" w:cs="Arial"/>
                <w:b/>
                <w:sz w:val="22"/>
                <w:szCs w:val="24"/>
              </w:rPr>
              <w:t>3</w:t>
            </w:r>
            <w:r w:rsidRPr="009E704E">
              <w:rPr>
                <w:rFonts w:ascii="Arial" w:hAnsi="Arial" w:cs="Arial"/>
                <w:b/>
                <w:sz w:val="22"/>
                <w:szCs w:val="24"/>
              </w:rPr>
              <w:tab/>
            </w:r>
          </w:p>
          <w:p w14:paraId="7D0B3B6D" w14:textId="13744F90" w:rsidR="00965082" w:rsidRDefault="00E42055" w:rsidP="00787455">
            <w:pPr>
              <w:pStyle w:val="Footer"/>
              <w:jc w:val="both"/>
              <w:rPr>
                <w:rFonts w:cs="Arial"/>
                <w:b w:val="0"/>
                <w:sz w:val="22"/>
                <w:szCs w:val="24"/>
              </w:rPr>
            </w:pPr>
            <w:r>
              <w:rPr>
                <w:rFonts w:cs="Arial"/>
                <w:i w:val="0"/>
                <w:noProof w:val="0"/>
                <w:sz w:val="22"/>
                <w:szCs w:val="24"/>
              </w:rPr>
              <w:t>Incheon, Korea, May 22</w:t>
            </w:r>
            <w:r w:rsidRPr="0056109E">
              <w:rPr>
                <w:rFonts w:cs="Arial"/>
                <w:i w:val="0"/>
                <w:noProof w:val="0"/>
                <w:sz w:val="22"/>
                <w:szCs w:val="24"/>
                <w:vertAlign w:val="superscript"/>
              </w:rPr>
              <w:t>nd</w:t>
            </w:r>
            <w:r>
              <w:rPr>
                <w:rFonts w:cs="Arial"/>
                <w:i w:val="0"/>
                <w:noProof w:val="0"/>
                <w:sz w:val="22"/>
                <w:szCs w:val="24"/>
              </w:rPr>
              <w:t xml:space="preserve"> – 26</w:t>
            </w:r>
            <w:r w:rsidRPr="0056109E">
              <w:rPr>
                <w:rFonts w:cs="Arial"/>
                <w:i w:val="0"/>
                <w:noProof w:val="0"/>
                <w:sz w:val="22"/>
                <w:szCs w:val="24"/>
                <w:vertAlign w:val="superscript"/>
              </w:rPr>
              <w:t>th</w:t>
            </w:r>
            <w:r w:rsidRPr="00047100">
              <w:rPr>
                <w:rFonts w:cs="Arial"/>
                <w:i w:val="0"/>
                <w:noProof w:val="0"/>
                <w:sz w:val="22"/>
                <w:szCs w:val="24"/>
              </w:rPr>
              <w:t>, 202</w:t>
            </w:r>
            <w:r>
              <w:rPr>
                <w:rFonts w:cs="Arial"/>
                <w:i w:val="0"/>
                <w:noProof w:val="0"/>
                <w:sz w:val="22"/>
                <w:szCs w:val="24"/>
              </w:rPr>
              <w:t>3</w:t>
            </w:r>
          </w:p>
        </w:tc>
        <w:tc>
          <w:tcPr>
            <w:tcW w:w="900"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1890" w:type="dxa"/>
          </w:tcPr>
          <w:p w14:paraId="4A0E9E09" w14:textId="750906CD"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1B43FC">
              <w:rPr>
                <w:rFonts w:ascii="Arial" w:hAnsi="Arial" w:cs="Arial"/>
                <w:b/>
                <w:szCs w:val="22"/>
              </w:rPr>
              <w:t>30</w:t>
            </w:r>
            <w:r w:rsidR="003F37A4">
              <w:rPr>
                <w:rFonts w:ascii="Arial" w:hAnsi="Arial" w:cs="Arial"/>
                <w:b/>
                <w:szCs w:val="22"/>
              </w:rPr>
              <w:t>5362</w:t>
            </w:r>
          </w:p>
        </w:tc>
      </w:tr>
    </w:tbl>
    <w:p w14:paraId="527E6D2D" w14:textId="77777777" w:rsidR="00965082" w:rsidRDefault="00965082" w:rsidP="00746535">
      <w:pPr>
        <w:tabs>
          <w:tab w:val="left" w:pos="1985"/>
        </w:tabs>
        <w:jc w:val="both"/>
        <w:rPr>
          <w:rFonts w:ascii="Arial" w:hAnsi="Arial"/>
          <w:b/>
          <w:sz w:val="22"/>
        </w:rPr>
      </w:pPr>
    </w:p>
    <w:p w14:paraId="0597369D" w14:textId="75EA5617"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4327E4">
        <w:rPr>
          <w:rFonts w:ascii="Arial" w:hAnsi="Arial"/>
          <w:sz w:val="22"/>
        </w:rPr>
        <w:t>9.1</w:t>
      </w:r>
      <w:r w:rsidR="00E42055">
        <w:rPr>
          <w:rFonts w:ascii="Arial" w:hAnsi="Arial"/>
          <w:sz w:val="22"/>
        </w:rPr>
        <w:t>2</w:t>
      </w:r>
      <w:r w:rsidR="004327E4">
        <w:rPr>
          <w:rFonts w:ascii="Arial" w:hAnsi="Arial"/>
          <w:sz w:val="22"/>
        </w:rPr>
        <w:t>.2</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BA05634"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4B1471">
        <w:rPr>
          <w:rFonts w:ascii="Arial" w:hAnsi="Arial"/>
          <w:sz w:val="22"/>
        </w:rPr>
        <w:t>Power-domain enhancements</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0AD7086C" w:rsidR="00746535" w:rsidRDefault="00746535" w:rsidP="00746535">
      <w:pPr>
        <w:pStyle w:val="Heading1"/>
        <w:rPr>
          <w:lang w:val="en-US"/>
        </w:rPr>
      </w:pPr>
      <w:r w:rsidRPr="008E769D">
        <w:rPr>
          <w:lang w:val="en-US"/>
        </w:rPr>
        <w:t>Introduction</w:t>
      </w:r>
    </w:p>
    <w:p w14:paraId="766AC0F7" w14:textId="6A8D66AF" w:rsidR="00F7594C" w:rsidRDefault="00993E67" w:rsidP="00A81424">
      <w:r>
        <w:t xml:space="preserve">In this document we present our views on power-domain enhancements targeted at improving 5G-NR coverage. </w:t>
      </w:r>
      <w:r w:rsidR="002364B3">
        <w:t>The R18 WID provides the following guideline</w:t>
      </w:r>
      <w:r w:rsidR="00F60427">
        <w:t xml:space="preserve">s on </w:t>
      </w:r>
      <w:r w:rsidR="00D67C05">
        <w:t>these enhancements:</w:t>
      </w:r>
    </w:p>
    <w:tbl>
      <w:tblPr>
        <w:tblStyle w:val="TableGrid"/>
        <w:tblW w:w="0" w:type="auto"/>
        <w:tblLook w:val="04A0" w:firstRow="1" w:lastRow="0" w:firstColumn="1" w:lastColumn="0" w:noHBand="0" w:noVBand="1"/>
      </w:tblPr>
      <w:tblGrid>
        <w:gridCol w:w="9350"/>
      </w:tblGrid>
      <w:tr w:rsidR="00F7594C" w14:paraId="1AC74C08" w14:textId="77777777" w:rsidTr="00F7594C">
        <w:tc>
          <w:tcPr>
            <w:tcW w:w="9350" w:type="dxa"/>
          </w:tcPr>
          <w:p w14:paraId="1F1203D9" w14:textId="4E41F968" w:rsidR="00D67B2F" w:rsidRPr="00D67B2F" w:rsidRDefault="00D67B2F" w:rsidP="004D36C0">
            <w:pPr>
              <w:numPr>
                <w:ilvl w:val="0"/>
                <w:numId w:val="30"/>
              </w:numPr>
              <w:tabs>
                <w:tab w:val="num" w:pos="720"/>
              </w:tabs>
              <w:jc w:val="both"/>
              <w:rPr>
                <w:b/>
                <w:bCs/>
              </w:rPr>
            </w:pPr>
            <w:r w:rsidRPr="00D67B2F">
              <w:rPr>
                <w:b/>
                <w:bCs/>
              </w:rPr>
              <w:t xml:space="preserve">Study and if </w:t>
            </w:r>
            <w:r w:rsidR="007108BC" w:rsidRPr="00D67B2F">
              <w:rPr>
                <w:b/>
                <w:bCs/>
              </w:rPr>
              <w:t>necessary,</w:t>
            </w:r>
            <w:r w:rsidRPr="00D67B2F">
              <w:rPr>
                <w:b/>
                <w:bCs/>
              </w:rPr>
              <w:t xml:space="preserve"> specify following power domain </w:t>
            </w:r>
            <w:r w:rsidR="001B43FC" w:rsidRPr="00D67B2F">
              <w:rPr>
                <w:b/>
                <w:bCs/>
              </w:rPr>
              <w:t>enhancements.</w:t>
            </w:r>
          </w:p>
          <w:p w14:paraId="112A4F9C" w14:textId="77777777" w:rsidR="00D67B2F" w:rsidRPr="00321F1A" w:rsidRDefault="00D67B2F" w:rsidP="004D36C0">
            <w:pPr>
              <w:numPr>
                <w:ilvl w:val="1"/>
                <w:numId w:val="30"/>
              </w:numPr>
              <w:jc w:val="both"/>
            </w:pPr>
            <w:r w:rsidRPr="00321F1A">
              <w:t>Enhancements to realize increasing UE power high limit for CA and DC based on Rel-17 RAN4 work on “Increasing UE power high limit for CA and DC”, in compliance with relevant regulations (RAN4, RAN1)</w:t>
            </w:r>
          </w:p>
          <w:p w14:paraId="5C072FF2" w14:textId="138FDC08" w:rsidR="00F7594C" w:rsidRDefault="00D67B2F" w:rsidP="00A81424">
            <w:r w:rsidRPr="00321F1A">
              <w:t>Enhancements to reduce MPR/PAR, including frequency domain spectrum shaping with and without spectrum extension for DFT-S-OFDM and tone reservation (RAN4, RAN1)</w:t>
            </w:r>
          </w:p>
        </w:tc>
      </w:tr>
    </w:tbl>
    <w:p w14:paraId="2C36A5A0" w14:textId="4CB469E0" w:rsidR="00F7594C" w:rsidRDefault="00F7594C" w:rsidP="00A81424"/>
    <w:p w14:paraId="404EA4F8" w14:textId="1B57AEA9" w:rsidR="00D67C05" w:rsidRPr="00F7594C" w:rsidRDefault="002E1928" w:rsidP="00321F1A">
      <w:r>
        <w:t xml:space="preserve">Section </w:t>
      </w:r>
      <w:r w:rsidR="006474AD">
        <w:fldChar w:fldCharType="begin"/>
      </w:r>
      <w:r w:rsidR="006474AD">
        <w:instrText xml:space="preserve"> REF _Ref115269388 \r \h </w:instrText>
      </w:r>
      <w:r w:rsidR="006474AD">
        <w:fldChar w:fldCharType="separate"/>
      </w:r>
      <w:r w:rsidR="00EA7EC4">
        <w:t>2</w:t>
      </w:r>
      <w:r w:rsidR="006474AD">
        <w:fldChar w:fldCharType="end"/>
      </w:r>
      <w:r>
        <w:t xml:space="preserve"> presents </w:t>
      </w:r>
      <w:r w:rsidR="0073686E">
        <w:t>our views on techniques for reducing MPR/PAPR to enable higher power transmissions</w:t>
      </w:r>
      <w:r w:rsidR="00860DFC">
        <w:t xml:space="preserve"> and </w:t>
      </w:r>
      <w:r w:rsidR="007108BC">
        <w:t xml:space="preserve">Section </w:t>
      </w:r>
      <w:r w:rsidR="007108BC">
        <w:fldChar w:fldCharType="begin"/>
      </w:r>
      <w:r w:rsidR="007108BC">
        <w:instrText xml:space="preserve"> REF _Ref131761839 \r \h </w:instrText>
      </w:r>
      <w:r w:rsidR="007108BC">
        <w:fldChar w:fldCharType="separate"/>
      </w:r>
      <w:r w:rsidR="00EA7EC4">
        <w:t>3</w:t>
      </w:r>
      <w:r w:rsidR="007108BC">
        <w:fldChar w:fldCharType="end"/>
      </w:r>
      <w:r w:rsidR="007108BC">
        <w:t xml:space="preserve"> </w:t>
      </w:r>
      <w:r w:rsidR="00860DFC">
        <w:t xml:space="preserve">presents our views on enhancements targeted at realizing higher power transmissions in CA and DC. </w:t>
      </w:r>
    </w:p>
    <w:p w14:paraId="74B2822C" w14:textId="5DA391A7" w:rsidR="00917776" w:rsidRDefault="0083627D" w:rsidP="00917776">
      <w:pPr>
        <w:pStyle w:val="Heading1"/>
        <w:rPr>
          <w:rFonts w:eastAsia="MS Mincho"/>
          <w:lang w:eastAsia="en-GB"/>
        </w:rPr>
      </w:pPr>
      <w:bookmarkStart w:id="2" w:name="_Ref115269388"/>
      <w:r w:rsidRPr="00667CC6">
        <w:rPr>
          <w:rFonts w:eastAsia="MS Mincho"/>
          <w:lang w:eastAsia="en-GB"/>
        </w:rPr>
        <w:t>Enhancements to reduce MPR/PA</w:t>
      </w:r>
      <w:r>
        <w:rPr>
          <w:rFonts w:eastAsia="MS Mincho"/>
          <w:lang w:eastAsia="en-GB"/>
        </w:rPr>
        <w:t>P</w:t>
      </w:r>
      <w:r w:rsidRPr="00667CC6">
        <w:rPr>
          <w:rFonts w:eastAsia="MS Mincho"/>
          <w:lang w:eastAsia="en-GB"/>
        </w:rPr>
        <w:t>R</w:t>
      </w:r>
      <w:bookmarkEnd w:id="2"/>
    </w:p>
    <w:p w14:paraId="469B7F70" w14:textId="2C88A0A2" w:rsidR="00A34B7E" w:rsidRDefault="00B2439C" w:rsidP="00321F1A">
      <w:pPr>
        <w:jc w:val="both"/>
        <w:rPr>
          <w:lang w:val="en-GB" w:eastAsia="en-GB"/>
        </w:rPr>
      </w:pPr>
      <w:r>
        <w:rPr>
          <w:lang w:val="en-GB" w:eastAsia="en-GB"/>
        </w:rPr>
        <w:t xml:space="preserve">From previous discussions, it was agreed to focus on DFT-S-OFDM </w:t>
      </w:r>
      <w:r w:rsidR="001C3367">
        <w:rPr>
          <w:lang w:val="en-GB" w:eastAsia="en-GB"/>
        </w:rPr>
        <w:t xml:space="preserve">waveforms </w:t>
      </w:r>
      <w:r>
        <w:rPr>
          <w:lang w:val="en-GB" w:eastAsia="en-GB"/>
        </w:rPr>
        <w:t xml:space="preserve">with QPSK </w:t>
      </w:r>
      <w:r w:rsidR="001C3367">
        <w:rPr>
          <w:lang w:val="en-GB" w:eastAsia="en-GB"/>
        </w:rPr>
        <w:t>modulation</w:t>
      </w:r>
      <w:r>
        <w:rPr>
          <w:lang w:val="en-GB" w:eastAsia="en-GB"/>
        </w:rPr>
        <w:t xml:space="preserve">. </w:t>
      </w:r>
      <w:r w:rsidR="003302CC">
        <w:rPr>
          <w:lang w:val="en-GB" w:eastAsia="en-GB"/>
        </w:rPr>
        <w:t>Following th</w:t>
      </w:r>
      <w:r w:rsidR="0045602E">
        <w:rPr>
          <w:lang w:val="en-GB" w:eastAsia="en-GB"/>
        </w:rPr>
        <w:t>is</w:t>
      </w:r>
      <w:r w:rsidR="003302CC">
        <w:rPr>
          <w:lang w:val="en-GB" w:eastAsia="en-GB"/>
        </w:rPr>
        <w:t xml:space="preserve"> guidance, in the following sections, we focus on DFT-S-OFDM waveforms with pi/2 BPSK or</w:t>
      </w:r>
      <w:r w:rsidR="007A5DB0">
        <w:rPr>
          <w:lang w:val="en-GB" w:eastAsia="en-GB"/>
        </w:rPr>
        <w:t xml:space="preserve"> QPSK modulations and </w:t>
      </w:r>
      <w:r w:rsidR="002033B9">
        <w:rPr>
          <w:lang w:val="en-GB" w:eastAsia="en-GB"/>
        </w:rPr>
        <w:t xml:space="preserve">present performance results using the </w:t>
      </w:r>
      <w:r w:rsidR="0021147B">
        <w:rPr>
          <w:lang w:val="en-GB" w:eastAsia="en-GB"/>
        </w:rPr>
        <w:t xml:space="preserve">two </w:t>
      </w:r>
      <w:r w:rsidR="00243BEB">
        <w:rPr>
          <w:lang w:val="en-GB" w:eastAsia="en-GB"/>
        </w:rPr>
        <w:t xml:space="preserve">non-transparent </w:t>
      </w:r>
      <w:r w:rsidR="0021147B">
        <w:rPr>
          <w:lang w:val="en-GB" w:eastAsia="en-GB"/>
        </w:rPr>
        <w:t xml:space="preserve">schemes </w:t>
      </w:r>
      <w:r w:rsidR="00243BEB">
        <w:rPr>
          <w:lang w:val="en-GB" w:eastAsia="en-GB"/>
        </w:rPr>
        <w:t xml:space="preserve">currently under study </w:t>
      </w:r>
      <w:r w:rsidR="0021147B">
        <w:rPr>
          <w:lang w:val="en-GB" w:eastAsia="en-GB"/>
        </w:rPr>
        <w:t>for MPR/PAPR reduction</w:t>
      </w:r>
      <w:r w:rsidR="00243BEB">
        <w:rPr>
          <w:lang w:val="en-GB" w:eastAsia="en-GB"/>
        </w:rPr>
        <w:t>: (a) tone reservation, and (b) FDSS with BWE.</w:t>
      </w:r>
      <w:r w:rsidR="0021147B">
        <w:rPr>
          <w:lang w:val="en-GB" w:eastAsia="en-GB"/>
        </w:rPr>
        <w:t xml:space="preserve"> </w:t>
      </w:r>
    </w:p>
    <w:p w14:paraId="4D2D2314" w14:textId="0B6FF299" w:rsidR="00112408" w:rsidRDefault="002B09E8" w:rsidP="004A4211">
      <w:pPr>
        <w:jc w:val="both"/>
      </w:pPr>
      <w:r w:rsidRPr="00321F1A">
        <w:t xml:space="preserve">Before we proceed further, we restate a few observations </w:t>
      </w:r>
      <w:r w:rsidR="00B677B7" w:rsidRPr="00321F1A">
        <w:t xml:space="preserve">regarding MPR. </w:t>
      </w:r>
      <w:r w:rsidR="006C7746">
        <w:t xml:space="preserve">Transmit power at the UE is broadly governed by </w:t>
      </w:r>
      <w:r w:rsidR="00BB2B48">
        <w:t>a UE’s power</w:t>
      </w:r>
      <w:r w:rsidR="00E717C7">
        <w:t xml:space="preserve"> </w:t>
      </w:r>
      <w:r w:rsidR="00BB2B48">
        <w:t>class</w:t>
      </w:r>
      <w:r w:rsidR="00E717C7">
        <w:t xml:space="preserve"> and the various power reductions </w:t>
      </w:r>
      <w:r w:rsidR="00AA0E78">
        <w:t>that a UE is allowed</w:t>
      </w:r>
      <w:r w:rsidR="00F66F0F">
        <w:t>. The power reduction could be</w:t>
      </w:r>
      <w:r w:rsidR="00AA0E78">
        <w:t xml:space="preserve"> to </w:t>
      </w:r>
      <w:r w:rsidR="00F66F0F">
        <w:t xml:space="preserve">(a) </w:t>
      </w:r>
      <w:r w:rsidR="00AA0E78">
        <w:t>accommodate waveform types</w:t>
      </w:r>
      <w:r w:rsidR="00E7154F">
        <w:t xml:space="preserve"> (MPR)</w:t>
      </w:r>
      <w:r w:rsidR="00AA0E78">
        <w:t xml:space="preserve">, </w:t>
      </w:r>
      <w:r w:rsidR="00F66F0F">
        <w:t xml:space="preserve">(b) meet </w:t>
      </w:r>
      <w:r w:rsidR="000072C5">
        <w:t>tight emissions requirements</w:t>
      </w:r>
      <w:r w:rsidR="00E7154F">
        <w:t xml:space="preserve"> (A-MPR)</w:t>
      </w:r>
      <w:r w:rsidR="000072C5">
        <w:t xml:space="preserve"> and </w:t>
      </w:r>
      <w:r w:rsidR="00F66F0F">
        <w:t xml:space="preserve">(c) for </w:t>
      </w:r>
      <w:r w:rsidR="000072C5">
        <w:t>power manag</w:t>
      </w:r>
      <w:r w:rsidR="00E7154F">
        <w:t xml:space="preserve">ement (P-MPR). Focusing on </w:t>
      </w:r>
      <w:r w:rsidR="00C9759D">
        <w:t xml:space="preserve">MPR, the </w:t>
      </w:r>
      <w:r w:rsidR="003E3ED5">
        <w:t>RAN4 specification provides the following table</w:t>
      </w:r>
      <w:r w:rsidR="00843A33">
        <w:t xml:space="preserve"> </w:t>
      </w:r>
      <w:r w:rsidR="00F02434">
        <w:t>(for a power class 3 UE)</w:t>
      </w:r>
      <w:r w:rsidR="003E3ED5">
        <w:t xml:space="preserve"> that outlines </w:t>
      </w:r>
      <w:r w:rsidR="00117B00">
        <w:t xml:space="preserve">the set of allowed power backoffs for </w:t>
      </w:r>
      <w:r w:rsidR="00112408">
        <w:t xml:space="preserve">waveforms depending on the number of allocated RBs and their location in the band, </w:t>
      </w:r>
      <w:r w:rsidR="00896E5A">
        <w:t>as well as the modulation used.</w:t>
      </w:r>
    </w:p>
    <w:p w14:paraId="53A88ED9" w14:textId="249758C3" w:rsidR="00483656" w:rsidRDefault="00112F33" w:rsidP="005451D6">
      <w:pPr>
        <w:jc w:val="both"/>
      </w:pPr>
      <w:r w:rsidRPr="00112F33">
        <w:rPr>
          <w:noProof/>
        </w:rPr>
        <w:t xml:space="preserve"> </w:t>
      </w:r>
    </w:p>
    <w:p w14:paraId="047CF161" w14:textId="0AF76A8A" w:rsidR="00483656" w:rsidRPr="00261B56" w:rsidRDefault="00483656" w:rsidP="00321F1A">
      <w:pPr>
        <w:pStyle w:val="Caption"/>
        <w:keepNext/>
        <w:jc w:val="center"/>
        <w:rPr>
          <w:b/>
          <w:bCs/>
          <w:color w:val="000000" w:themeColor="text1"/>
        </w:rPr>
      </w:pPr>
      <w:r w:rsidRPr="00261B56">
        <w:rPr>
          <w:b/>
          <w:bCs/>
          <w:color w:val="000000" w:themeColor="text1"/>
        </w:rPr>
        <w:lastRenderedPageBreak/>
        <w:t xml:space="preserve">Table </w:t>
      </w:r>
      <w:r w:rsidRPr="00261B56">
        <w:rPr>
          <w:b/>
          <w:bCs/>
          <w:color w:val="000000" w:themeColor="text1"/>
        </w:rPr>
        <w:fldChar w:fldCharType="begin"/>
      </w:r>
      <w:r w:rsidRPr="00261B56">
        <w:rPr>
          <w:b/>
          <w:bCs/>
          <w:color w:val="000000" w:themeColor="text1"/>
        </w:rPr>
        <w:instrText xml:space="preserve"> SEQ Table \* ARABIC </w:instrText>
      </w:r>
      <w:r w:rsidRPr="00261B56">
        <w:rPr>
          <w:b/>
          <w:bCs/>
          <w:color w:val="000000" w:themeColor="text1"/>
        </w:rPr>
        <w:fldChar w:fldCharType="separate"/>
      </w:r>
      <w:r w:rsidR="00EA7EC4">
        <w:rPr>
          <w:b/>
          <w:bCs/>
          <w:noProof/>
          <w:color w:val="000000" w:themeColor="text1"/>
        </w:rPr>
        <w:t>1</w:t>
      </w:r>
      <w:r w:rsidRPr="00261B56">
        <w:rPr>
          <w:b/>
          <w:bCs/>
          <w:color w:val="000000" w:themeColor="text1"/>
        </w:rPr>
        <w:fldChar w:fldCharType="end"/>
      </w:r>
      <w:r w:rsidRPr="00261B56">
        <w:rPr>
          <w:b/>
          <w:bCs/>
          <w:color w:val="000000" w:themeColor="text1"/>
        </w:rPr>
        <w:t xml:space="preserve"> MPR Table from 38.101-1</w:t>
      </w:r>
    </w:p>
    <w:p w14:paraId="57E23E69" w14:textId="42AF2198" w:rsidR="005451D6" w:rsidRPr="005451D6" w:rsidRDefault="00112F33" w:rsidP="005451D6">
      <w:pPr>
        <w:jc w:val="both"/>
      </w:pPr>
      <w:r>
        <w:rPr>
          <w:noProof/>
        </w:rPr>
        <w:drawing>
          <wp:inline distT="0" distB="0" distL="0" distR="0" wp14:anchorId="5869AC8D" wp14:editId="36BD3F4E">
            <wp:extent cx="5943600" cy="322389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pic:nvPicPr>
                  <pic:blipFill>
                    <a:blip r:embed="rId8"/>
                    <a:stretch>
                      <a:fillRect/>
                    </a:stretch>
                  </pic:blipFill>
                  <pic:spPr>
                    <a:xfrm>
                      <a:off x="0" y="0"/>
                      <a:ext cx="5943600" cy="3223895"/>
                    </a:xfrm>
                    <a:prstGeom prst="rect">
                      <a:avLst/>
                    </a:prstGeom>
                  </pic:spPr>
                </pic:pic>
              </a:graphicData>
            </a:graphic>
          </wp:inline>
        </w:drawing>
      </w:r>
    </w:p>
    <w:p w14:paraId="382DF55B" w14:textId="0DFD03B2" w:rsidR="00135C61" w:rsidRDefault="00322580" w:rsidP="00322580">
      <w:pPr>
        <w:jc w:val="both"/>
      </w:pPr>
      <w:r>
        <w:t>There are many constraints imposed on a UE transmission</w:t>
      </w:r>
      <w:r w:rsidR="00A1234E">
        <w:t xml:space="preserve">, including limits on ACLR, SEM, IBE, EVM, etc. A UE may not always be able to synthesize and transmit a waveform at its maximum power based on its power class while also adhering to all the RAN4 constraints. </w:t>
      </w:r>
      <w:r w:rsidR="00833472">
        <w:t>T</w:t>
      </w:r>
      <w:r>
        <w:t xml:space="preserve">he values in this table are </w:t>
      </w:r>
      <w:r w:rsidR="00135C61" w:rsidRPr="005451D6">
        <w:t xml:space="preserve">chosen </w:t>
      </w:r>
      <w:r w:rsidR="004F5981">
        <w:t>so that a UE can synthesize</w:t>
      </w:r>
      <w:r w:rsidR="00833472">
        <w:t xml:space="preserve"> the required</w:t>
      </w:r>
      <w:r w:rsidR="004F5981">
        <w:t xml:space="preserve"> waveforms </w:t>
      </w:r>
      <w:r w:rsidR="00833472">
        <w:t>without having to</w:t>
      </w:r>
      <w:r w:rsidR="00C468D0">
        <w:t xml:space="preserve"> violate the </w:t>
      </w:r>
      <w:r w:rsidR="00135C61" w:rsidRPr="005451D6">
        <w:t>various RAN4 restrictions on ACLR, IBE, EVM and SEM.</w:t>
      </w:r>
    </w:p>
    <w:p w14:paraId="18FE0E45" w14:textId="37378E69" w:rsidR="00C14665" w:rsidRDefault="00EC2C03" w:rsidP="00347C1B">
      <w:pPr>
        <w:pStyle w:val="paragraph"/>
        <w:jc w:val="both"/>
        <w:textAlignment w:val="baseline"/>
        <w:rPr>
          <w:rStyle w:val="normaltextrun"/>
          <w:sz w:val="20"/>
          <w:szCs w:val="20"/>
        </w:rPr>
      </w:pPr>
      <w:r w:rsidRPr="00321F1A">
        <w:rPr>
          <w:sz w:val="20"/>
          <w:szCs w:val="20"/>
        </w:rPr>
        <w:t>The</w:t>
      </w:r>
      <w:r w:rsidR="00C14665" w:rsidRPr="00321F1A">
        <w:rPr>
          <w:sz w:val="20"/>
          <w:szCs w:val="20"/>
        </w:rPr>
        <w:t xml:space="preserve"> </w:t>
      </w:r>
      <w:r w:rsidR="00F2040B">
        <w:rPr>
          <w:sz w:val="20"/>
          <w:szCs w:val="20"/>
        </w:rPr>
        <w:t>MPR</w:t>
      </w:r>
      <w:r w:rsidRPr="00321F1A">
        <w:rPr>
          <w:sz w:val="20"/>
          <w:szCs w:val="20"/>
        </w:rPr>
        <w:t xml:space="preserve"> values are used by the UE to calculate the lower bound on its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CMAX,f,c</m:t>
            </m:r>
          </m:sub>
        </m:sSub>
      </m:oMath>
      <w:r w:rsidRPr="00321F1A">
        <w:rPr>
          <w:sz w:val="20"/>
          <w:szCs w:val="20"/>
        </w:rPr>
        <w:t xml:space="preserve"> value.</w:t>
      </w:r>
      <w:r w:rsidR="005923BB" w:rsidRPr="00321F1A">
        <w:rPr>
          <w:sz w:val="20"/>
          <w:szCs w:val="20"/>
        </w:rPr>
        <w:t xml:space="preserve"> In other words, these numbers represent the maximum amount of backoff a UE is allowed, and </w:t>
      </w:r>
      <w:r w:rsidR="00643EE4">
        <w:rPr>
          <w:sz w:val="20"/>
          <w:szCs w:val="20"/>
        </w:rPr>
        <w:t>a real-world</w:t>
      </w:r>
      <w:r w:rsidR="00666AFB" w:rsidRPr="00321F1A">
        <w:rPr>
          <w:sz w:val="20"/>
          <w:szCs w:val="20"/>
        </w:rPr>
        <w:t xml:space="preserve"> UE may or may not use </w:t>
      </w:r>
      <w:r w:rsidR="00FD27FE" w:rsidRPr="00321F1A">
        <w:rPr>
          <w:sz w:val="20"/>
          <w:szCs w:val="20"/>
        </w:rPr>
        <w:t>the maximum allowance when setting its transmit power</w:t>
      </w:r>
      <w:r w:rsidRPr="00321F1A">
        <w:rPr>
          <w:sz w:val="20"/>
          <w:szCs w:val="20"/>
        </w:rPr>
        <w:t xml:space="preserve"> </w:t>
      </w:r>
      <w:r w:rsidR="00FD27FE" w:rsidRPr="00321F1A">
        <w:rPr>
          <w:sz w:val="20"/>
          <w:szCs w:val="20"/>
        </w:rPr>
        <w:t>for a transmission</w:t>
      </w:r>
      <w:r w:rsidR="00347C1B">
        <w:rPr>
          <w:sz w:val="20"/>
          <w:szCs w:val="20"/>
        </w:rPr>
        <w:t>,</w:t>
      </w:r>
      <w:r w:rsidR="00347C1B" w:rsidRPr="00347C1B">
        <w:rPr>
          <w:rStyle w:val="normaltextrun"/>
          <w:sz w:val="20"/>
          <w:szCs w:val="20"/>
        </w:rPr>
        <w:t xml:space="preserve"> i.e.</w:t>
      </w:r>
      <w:r w:rsidR="00347C1B">
        <w:rPr>
          <w:rStyle w:val="normaltextrun"/>
          <w:sz w:val="20"/>
          <w:szCs w:val="20"/>
        </w:rPr>
        <w:t>,</w:t>
      </w:r>
      <w:r w:rsidR="00347C1B" w:rsidRPr="00347C1B">
        <w:rPr>
          <w:rStyle w:val="normaltextrun"/>
          <w:sz w:val="20"/>
          <w:szCs w:val="20"/>
        </w:rPr>
        <w:t xml:space="preserve"> the UE is not precluded from self-enhancement for waveforms that have non-zero MPR. There is however a limit to the self enhancement possible, which is the same P</w:t>
      </w:r>
      <w:r w:rsidR="00347C1B" w:rsidRPr="00321F1A">
        <w:rPr>
          <w:rStyle w:val="normaltextrun"/>
          <w:sz w:val="20"/>
          <w:szCs w:val="20"/>
          <w:vertAlign w:val="subscript"/>
        </w:rPr>
        <w:t>CMAX_H</w:t>
      </w:r>
      <w:r w:rsidR="00347C1B" w:rsidRPr="00347C1B">
        <w:rPr>
          <w:rStyle w:val="normaltextrun"/>
          <w:sz w:val="20"/>
          <w:szCs w:val="20"/>
        </w:rPr>
        <w:t xml:space="preserve"> identified as the upper limit for 0</w:t>
      </w:r>
      <w:r w:rsidR="00E4056A">
        <w:rPr>
          <w:rStyle w:val="normaltextrun"/>
          <w:sz w:val="20"/>
          <w:szCs w:val="20"/>
        </w:rPr>
        <w:t>-dB</w:t>
      </w:r>
      <w:r w:rsidR="00347C1B" w:rsidRPr="00347C1B">
        <w:rPr>
          <w:rStyle w:val="normaltextrun"/>
          <w:sz w:val="20"/>
          <w:szCs w:val="20"/>
        </w:rPr>
        <w:t xml:space="preserve"> MPR waveforms. </w:t>
      </w:r>
    </w:p>
    <w:tbl>
      <w:tblPr>
        <w:tblStyle w:val="TableGrid"/>
        <w:tblW w:w="0" w:type="auto"/>
        <w:tblLook w:val="04A0" w:firstRow="1" w:lastRow="0" w:firstColumn="1" w:lastColumn="0" w:noHBand="0" w:noVBand="1"/>
      </w:tblPr>
      <w:tblGrid>
        <w:gridCol w:w="9350"/>
      </w:tblGrid>
      <w:tr w:rsidR="00C16237" w14:paraId="192A87CC" w14:textId="77777777" w:rsidTr="00C16237">
        <w:tc>
          <w:tcPr>
            <w:tcW w:w="9350" w:type="dxa"/>
          </w:tcPr>
          <w:p w14:paraId="4F7D68CE" w14:textId="761AB7D8" w:rsidR="00C16237" w:rsidRDefault="00C16237" w:rsidP="00321F1A">
            <w:pPr>
              <w:spacing w:after="0"/>
              <w:jc w:val="both"/>
            </w:pPr>
            <w:r w:rsidRPr="00667CC6">
              <w:rPr>
                <w:b/>
                <w:bCs/>
              </w:rPr>
              <w:t>Observation</w:t>
            </w:r>
            <w:r w:rsidR="00E4056A">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rsidR="00E4056A">
              <w:t>E</w:t>
            </w:r>
            <w:r w:rsidRPr="00347C1B">
              <w:t>s may make use of the allowed reduction in transmit power.</w:t>
            </w:r>
            <w:r>
              <w:t xml:space="preserve"> </w:t>
            </w:r>
          </w:p>
        </w:tc>
      </w:tr>
    </w:tbl>
    <w:p w14:paraId="16488F0A" w14:textId="77777777" w:rsidR="00D923A2" w:rsidRDefault="00D923A2" w:rsidP="005451D6">
      <w:pPr>
        <w:jc w:val="both"/>
      </w:pPr>
    </w:p>
    <w:p w14:paraId="57F5264A" w14:textId="0195CAF2" w:rsidR="007034EB" w:rsidRDefault="009D19C0" w:rsidP="007034EB">
      <w:pPr>
        <w:jc w:val="both"/>
      </w:pPr>
      <w:r w:rsidRPr="00347C1B">
        <w:t>Fo</w:t>
      </w:r>
      <w:r w:rsidR="006122A4">
        <w:t xml:space="preserve">cusing on </w:t>
      </w:r>
      <w:r w:rsidRPr="00347C1B">
        <w:t>DFT</w:t>
      </w:r>
      <w:r w:rsidR="00F60946">
        <w:t>-</w:t>
      </w:r>
      <w:r w:rsidRPr="00347C1B">
        <w:t xml:space="preserve">S-OFDM waveforms, </w:t>
      </w:r>
      <w:r w:rsidR="00D91BAF">
        <w:t>when inner</w:t>
      </w:r>
      <w:r w:rsidRPr="00347C1B">
        <w:t xml:space="preserve"> RB allocations </w:t>
      </w:r>
      <w:r w:rsidR="00D91BAF">
        <w:t xml:space="preserve">are used, </w:t>
      </w:r>
      <w:r w:rsidRPr="00347C1B">
        <w:t>it is required to transmit the lower order modulations such as pi/2 BPSK and QPSK at full power without any power backoff</w:t>
      </w:r>
      <w:r w:rsidR="00F60946">
        <w:t>;</w:t>
      </w:r>
      <w:r w:rsidRPr="00347C1B">
        <w:t xml:space="preserve"> a backoff of up to 1 dB may be applied to outer and edge RB allocations. </w:t>
      </w:r>
      <w:r w:rsidR="00BD55EA" w:rsidRPr="00347C1B">
        <w:t>As one proceeds to higher order modulations, significant power back</w:t>
      </w:r>
      <w:r w:rsidR="00BD55EA" w:rsidRPr="005451D6">
        <w:t>offs may be applied</w:t>
      </w:r>
      <w:r w:rsidR="007034EB">
        <w:t>.</w:t>
      </w:r>
    </w:p>
    <w:p w14:paraId="6CACE912" w14:textId="4C081B55" w:rsidR="007034EB" w:rsidRDefault="00584095" w:rsidP="007034EB">
      <w:pPr>
        <w:jc w:val="both"/>
      </w:pPr>
      <w:r>
        <w:t>The following figure shows the split between inner RB allocations and outer RB allocations as a function of</w:t>
      </w:r>
      <w:r w:rsidR="007F458D">
        <w:t xml:space="preserve"> start RB location and RB length. If the length of RB allocation </w:t>
      </w:r>
      <w:r w:rsidR="007F6C66">
        <w:t xml:space="preserve">is less than </w:t>
      </w:r>
      <w:r w:rsidR="00704BF7">
        <w:t xml:space="preserve">half the bandwidth and the </w:t>
      </w:r>
      <w:r w:rsidR="00915F31">
        <w:t xml:space="preserve">entire allocation is sufficiently away from the edge of the BW (distance to the edge from </w:t>
      </w:r>
      <w:r w:rsidR="00AB32AB">
        <w:t>either end of the allocation must be at least as long as half the allocation length</w:t>
      </w:r>
      <w:r w:rsidR="00AD5ACC">
        <w:t>)</w:t>
      </w:r>
      <w:r w:rsidR="00050265">
        <w:t xml:space="preserve">, then such an allocation is called an inner allocation. Outer allocations constitute a vast majority of the </w:t>
      </w:r>
      <w:r w:rsidR="00913A0D">
        <w:t xml:space="preserve">non-inner allocations. Certain exceptional allocations </w:t>
      </w:r>
      <w:r w:rsidR="000B45B6">
        <w:t xml:space="preserve">that are right on the edge and have a very small allocation are termed as edge allocations. </w:t>
      </w:r>
    </w:p>
    <w:p w14:paraId="4F891CBE" w14:textId="77777777" w:rsidR="001E0205" w:rsidRDefault="00203F5A" w:rsidP="00321F1A">
      <w:pPr>
        <w:keepNext/>
        <w:jc w:val="center"/>
      </w:pPr>
      <w:r>
        <w:rPr>
          <w:noProof/>
        </w:rPr>
        <w:lastRenderedPageBreak/>
        <w:drawing>
          <wp:inline distT="0" distB="0" distL="0" distR="0" wp14:anchorId="5FED1BA8" wp14:editId="7DC31328">
            <wp:extent cx="3299812" cy="2508703"/>
            <wp:effectExtent l="0" t="0" r="0" b="6350"/>
            <wp:docPr id="88" name="Picture 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Chart&#10;&#10;Description automatically generated"/>
                    <pic:cNvPicPr/>
                  </pic:nvPicPr>
                  <pic:blipFill>
                    <a:blip r:embed="rId9"/>
                    <a:stretch>
                      <a:fillRect/>
                    </a:stretch>
                  </pic:blipFill>
                  <pic:spPr>
                    <a:xfrm>
                      <a:off x="0" y="0"/>
                      <a:ext cx="3317308" cy="2522004"/>
                    </a:xfrm>
                    <a:prstGeom prst="rect">
                      <a:avLst/>
                    </a:prstGeom>
                  </pic:spPr>
                </pic:pic>
              </a:graphicData>
            </a:graphic>
          </wp:inline>
        </w:drawing>
      </w:r>
    </w:p>
    <w:p w14:paraId="19FB85F3" w14:textId="54C76ADD" w:rsidR="00203F5A" w:rsidRDefault="001E0205" w:rsidP="00321F1A">
      <w:pPr>
        <w:pStyle w:val="Caption"/>
        <w:jc w:val="center"/>
      </w:pPr>
      <w:r>
        <w:t xml:space="preserve">Figure </w:t>
      </w:r>
      <w:r>
        <w:fldChar w:fldCharType="begin"/>
      </w:r>
      <w:r>
        <w:instrText xml:space="preserve"> SEQ Figure \* ARABIC </w:instrText>
      </w:r>
      <w:r>
        <w:fldChar w:fldCharType="separate"/>
      </w:r>
      <w:r w:rsidR="00EA7EC4">
        <w:rPr>
          <w:noProof/>
        </w:rPr>
        <w:t>1</w:t>
      </w:r>
      <w:r>
        <w:fldChar w:fldCharType="end"/>
      </w:r>
      <w:r>
        <w:t xml:space="preserve"> Inner, outer, and edge RB allocations for 100 Mhz BW with 30 kHz SCS.</w:t>
      </w:r>
    </w:p>
    <w:p w14:paraId="7DFE8113" w14:textId="3EFF44AD" w:rsidR="00FE2277" w:rsidRDefault="00FE2277" w:rsidP="007034EB">
      <w:pPr>
        <w:jc w:val="both"/>
      </w:pPr>
    </w:p>
    <w:p w14:paraId="61FA761D" w14:textId="46E6A7EB" w:rsidR="00FE2277" w:rsidRDefault="007B78E3" w:rsidP="007034EB">
      <w:pPr>
        <w:jc w:val="both"/>
      </w:pPr>
      <w:r>
        <w:t xml:space="preserve">Given the focus on coverage enhancements, if we are to zoom into the region with </w:t>
      </w:r>
      <w:r w:rsidR="00717C5E">
        <w:t>RB allocations of length 1-64, we notice that a va</w:t>
      </w:r>
      <w:r w:rsidR="00E76CFC">
        <w:t>st</w:t>
      </w:r>
      <w:r w:rsidR="00717C5E">
        <w:t xml:space="preserve"> majority of such allocations are inner RB allocations </w:t>
      </w:r>
      <w:r w:rsidR="00E76CFC">
        <w:t xml:space="preserve">as illustrated in the figure below. </w:t>
      </w:r>
    </w:p>
    <w:p w14:paraId="1098C77F" w14:textId="77777777" w:rsidR="001E0205" w:rsidRDefault="00717C5E" w:rsidP="00321F1A">
      <w:pPr>
        <w:keepNext/>
        <w:jc w:val="center"/>
      </w:pPr>
      <w:r>
        <w:rPr>
          <w:noProof/>
        </w:rPr>
        <w:drawing>
          <wp:inline distT="0" distB="0" distL="0" distR="0" wp14:anchorId="02B34EE5" wp14:editId="00CE75E2">
            <wp:extent cx="3410948" cy="2646400"/>
            <wp:effectExtent l="0" t="0" r="0" b="1905"/>
            <wp:docPr id="89" name="Picture 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10;&#10;Description automatically generated"/>
                    <pic:cNvPicPr/>
                  </pic:nvPicPr>
                  <pic:blipFill>
                    <a:blip r:embed="rId10"/>
                    <a:stretch>
                      <a:fillRect/>
                    </a:stretch>
                  </pic:blipFill>
                  <pic:spPr>
                    <a:xfrm>
                      <a:off x="0" y="0"/>
                      <a:ext cx="3444987" cy="2672810"/>
                    </a:xfrm>
                    <a:prstGeom prst="rect">
                      <a:avLst/>
                    </a:prstGeom>
                  </pic:spPr>
                </pic:pic>
              </a:graphicData>
            </a:graphic>
          </wp:inline>
        </w:drawing>
      </w:r>
    </w:p>
    <w:p w14:paraId="195FD937" w14:textId="0E7DAA8F" w:rsidR="00FE2277" w:rsidRDefault="001E0205" w:rsidP="00321F1A">
      <w:pPr>
        <w:pStyle w:val="Caption"/>
        <w:jc w:val="center"/>
      </w:pPr>
      <w:r>
        <w:t xml:space="preserve">Figure </w:t>
      </w:r>
      <w:r>
        <w:fldChar w:fldCharType="begin"/>
      </w:r>
      <w:r>
        <w:instrText xml:space="preserve"> SEQ Figure \* ARABIC </w:instrText>
      </w:r>
      <w:r>
        <w:fldChar w:fldCharType="separate"/>
      </w:r>
      <w:r w:rsidR="00EA7EC4">
        <w:rPr>
          <w:noProof/>
        </w:rPr>
        <w:t>2</w:t>
      </w:r>
      <w:r>
        <w:fldChar w:fldCharType="end"/>
      </w:r>
      <w:r>
        <w:t xml:space="preserve"> </w:t>
      </w:r>
      <w:r w:rsidRPr="00536D89">
        <w:t>Inner, outer, and edge RB allocations for 100 Mhz BW with 30 kHz SCS</w:t>
      </w:r>
      <w:r w:rsidR="0092145E">
        <w:t xml:space="preserve"> and LCRB &lt; 64.</w:t>
      </w:r>
    </w:p>
    <w:p w14:paraId="0A7F616A" w14:textId="57C04B1E" w:rsidR="00B83AAC" w:rsidRDefault="00FC46D8" w:rsidP="00BD55EA">
      <w:pPr>
        <w:jc w:val="both"/>
      </w:pPr>
      <w:r>
        <w:t xml:space="preserve"> </w:t>
      </w:r>
      <w:r w:rsidR="007F305D">
        <w:t xml:space="preserve">It can be seen that close to 80-85% of the allocations in this range fall in the inner </w:t>
      </w:r>
      <w:r w:rsidR="00164196">
        <w:t xml:space="preserve">region. Note that there is no MPR allowance in this region.  </w:t>
      </w:r>
      <w:r w:rsidR="00353CD1">
        <w:t xml:space="preserve">We think that R18 coverage enhancements must narrow its focus to this subset of allocations so that </w:t>
      </w:r>
      <w:r w:rsidR="00B142EC">
        <w:t xml:space="preserve">a true coverage gain is realized. </w:t>
      </w:r>
    </w:p>
    <w:tbl>
      <w:tblPr>
        <w:tblStyle w:val="TableGrid"/>
        <w:tblW w:w="0" w:type="auto"/>
        <w:tblLook w:val="04A0" w:firstRow="1" w:lastRow="0" w:firstColumn="1" w:lastColumn="0" w:noHBand="0" w:noVBand="1"/>
      </w:tblPr>
      <w:tblGrid>
        <w:gridCol w:w="9350"/>
      </w:tblGrid>
      <w:tr w:rsidR="00F17E16" w14:paraId="75A4F7F0" w14:textId="77777777" w:rsidTr="00F17E16">
        <w:tc>
          <w:tcPr>
            <w:tcW w:w="9350" w:type="dxa"/>
          </w:tcPr>
          <w:p w14:paraId="5BC37D26" w14:textId="45E154D4" w:rsidR="00F17E16" w:rsidRDefault="00F17E16" w:rsidP="00F17E16">
            <w:pPr>
              <w:jc w:val="both"/>
            </w:pPr>
            <w:r w:rsidRPr="008B4038">
              <w:rPr>
                <w:b/>
                <w:bCs/>
              </w:rPr>
              <w:t>Proposal</w:t>
            </w:r>
            <w:r w:rsidR="009775E4">
              <w:rPr>
                <w:b/>
                <w:bCs/>
              </w:rPr>
              <w:t xml:space="preserve"> 1</w:t>
            </w:r>
            <w:r w:rsidRPr="008B4038">
              <w:rPr>
                <w:b/>
                <w:bCs/>
              </w:rPr>
              <w:t>:</w:t>
            </w:r>
            <w:r>
              <w:t xml:space="preserve"> For enhancements to reduce MPR/PAPR, prioritize inner RB allocations with small RB allocations, for e.g.</w:t>
            </w:r>
            <w:r w:rsidR="007F6EF6">
              <w:t>,</w:t>
            </w:r>
            <w:r>
              <w:t xml:space="preserve"> 1-32 RBs. </w:t>
            </w:r>
          </w:p>
        </w:tc>
      </w:tr>
    </w:tbl>
    <w:p w14:paraId="0D4972F0" w14:textId="77777777" w:rsidR="00F17E16" w:rsidRDefault="00F17E16" w:rsidP="00BD55EA">
      <w:pPr>
        <w:jc w:val="both"/>
      </w:pPr>
    </w:p>
    <w:p w14:paraId="7D330720" w14:textId="2ADFF44C" w:rsidR="008E788E" w:rsidRDefault="008B7A92" w:rsidP="007034EB">
      <w:pPr>
        <w:jc w:val="both"/>
        <w:rPr>
          <w:rStyle w:val="eop"/>
        </w:rPr>
      </w:pPr>
      <w:r>
        <w:t xml:space="preserve">For R18 coverage enhancements, </w:t>
      </w:r>
      <w:r w:rsidR="008E788E">
        <w:t>we think it is useful to focus on</w:t>
      </w:r>
      <w:r w:rsidR="00F758CA">
        <w:t xml:space="preserve"> waveforms </w:t>
      </w:r>
      <w:r w:rsidR="00CC63EC">
        <w:t>with 0</w:t>
      </w:r>
      <w:r w:rsidR="00E5655B">
        <w:t>-</w:t>
      </w:r>
      <w:r w:rsidR="00CC63EC">
        <w:t xml:space="preserve">dB MPR allowance. </w:t>
      </w:r>
      <w:r w:rsidR="00F5731F">
        <w:t>N</w:t>
      </w:r>
      <w:r w:rsidR="00C76094">
        <w:t xml:space="preserve">ote that for a cell-edge UE, it can </w:t>
      </w:r>
      <w:r w:rsidR="008E788E">
        <w:rPr>
          <w:rStyle w:val="normaltextrun"/>
        </w:rPr>
        <w:t>be assumed that the network has already exercised all its options</w:t>
      </w:r>
      <w:r w:rsidR="00C76094">
        <w:rPr>
          <w:rStyle w:val="normaltextrun"/>
        </w:rPr>
        <w:t xml:space="preserve"> to increase transmit power</w:t>
      </w:r>
      <w:r w:rsidR="008E788E">
        <w:rPr>
          <w:rStyle w:val="normaltextrun"/>
        </w:rPr>
        <w:t xml:space="preserve">, including scheduling waveforms with no MPR allowance (‘0 MPR waveforms’). </w:t>
      </w:r>
      <w:r w:rsidR="00CC63EC">
        <w:rPr>
          <w:rStyle w:val="normaltextrun"/>
        </w:rPr>
        <w:t>An</w:t>
      </w:r>
      <w:r w:rsidR="008E788E">
        <w:rPr>
          <w:rStyle w:val="normaltextrun"/>
        </w:rPr>
        <w:t xml:space="preserve"> FR1 UE has virtually no room for </w:t>
      </w:r>
      <w:r w:rsidR="000A1A66">
        <w:rPr>
          <w:rStyle w:val="normaltextrun"/>
        </w:rPr>
        <w:t>any further self-</w:t>
      </w:r>
      <w:r w:rsidR="008E788E">
        <w:rPr>
          <w:rStyle w:val="normaltextrun"/>
        </w:rPr>
        <w:t xml:space="preserve">enhancement </w:t>
      </w:r>
      <w:r w:rsidR="000A1A66">
        <w:rPr>
          <w:rStyle w:val="normaltextrun"/>
        </w:rPr>
        <w:t xml:space="preserve">for such waveforms </w:t>
      </w:r>
      <w:r w:rsidR="008E788E">
        <w:rPr>
          <w:rStyle w:val="normaltextrun"/>
        </w:rPr>
        <w:t>because of proximity between the UE’s actual UL power and the upper limit on transmitted power for the power class itself, P</w:t>
      </w:r>
      <w:r w:rsidR="008E788E">
        <w:rPr>
          <w:rStyle w:val="normaltextrun"/>
          <w:sz w:val="16"/>
          <w:szCs w:val="16"/>
          <w:vertAlign w:val="subscript"/>
        </w:rPr>
        <w:t>CMAX_H</w:t>
      </w:r>
      <w:r w:rsidR="008E788E">
        <w:rPr>
          <w:rStyle w:val="normaltextrun"/>
        </w:rPr>
        <w:t>. A meaningful increase in UL coverage is only possible if this impediment to power increase is removed or loosened.</w:t>
      </w:r>
      <w:r w:rsidR="008E788E">
        <w:rPr>
          <w:rStyle w:val="eop"/>
        </w:rPr>
        <w:t> </w:t>
      </w:r>
    </w:p>
    <w:tbl>
      <w:tblPr>
        <w:tblStyle w:val="TableGrid"/>
        <w:tblW w:w="0" w:type="auto"/>
        <w:tblLook w:val="04A0" w:firstRow="1" w:lastRow="0" w:firstColumn="1" w:lastColumn="0" w:noHBand="0" w:noVBand="1"/>
      </w:tblPr>
      <w:tblGrid>
        <w:gridCol w:w="9350"/>
      </w:tblGrid>
      <w:tr w:rsidR="003159E7" w14:paraId="4AAC9AA9" w14:textId="77777777" w:rsidTr="003159E7">
        <w:tc>
          <w:tcPr>
            <w:tcW w:w="9350" w:type="dxa"/>
          </w:tcPr>
          <w:p w14:paraId="41573C2E" w14:textId="4127F2FE" w:rsidR="003159E7" w:rsidRPr="003159E7" w:rsidRDefault="003159E7" w:rsidP="00321F1A">
            <w:pPr>
              <w:spacing w:after="0"/>
              <w:jc w:val="both"/>
              <w:rPr>
                <w:rStyle w:val="eop"/>
                <w:rFonts w:eastAsia="SimSun"/>
                <w:lang w:val="en-US" w:eastAsia="en-US"/>
              </w:rPr>
            </w:pPr>
            <w:r w:rsidRPr="00667CC6">
              <w:rPr>
                <w:b/>
                <w:bCs/>
              </w:rPr>
              <w:t>Proposal</w:t>
            </w:r>
            <w:r>
              <w:rPr>
                <w:b/>
                <w:bCs/>
              </w:rPr>
              <w:t xml:space="preserve"> </w:t>
            </w:r>
            <w:r w:rsidR="009775E4">
              <w:rPr>
                <w:b/>
                <w:bCs/>
              </w:rPr>
              <w:t>2</w:t>
            </w:r>
            <w:r w:rsidRPr="00667CC6">
              <w:rPr>
                <w:b/>
                <w:bCs/>
              </w:rPr>
              <w:t>:</w:t>
            </w:r>
            <w:r w:rsidRPr="001E037B">
              <w:t xml:space="preserve"> </w:t>
            </w:r>
            <w:r w:rsidR="008B73AF">
              <w:t>For enhancements to reduce MPR/PAPR, p</w:t>
            </w:r>
            <w:r>
              <w:t>rioritize</w:t>
            </w:r>
            <w:r w:rsidRPr="001E037B">
              <w:t xml:space="preserve"> </w:t>
            </w:r>
            <w:r w:rsidR="008B73AF">
              <w:t>mechanisms</w:t>
            </w:r>
            <w:r w:rsidRPr="001E037B">
              <w:t xml:space="preserve"> that allow a 0-dB MPR waveform to be transmitted at a transmit power exceeding the maximum power associated with the UE power class.</w:t>
            </w:r>
          </w:p>
        </w:tc>
      </w:tr>
    </w:tbl>
    <w:p w14:paraId="03899587" w14:textId="77777777" w:rsidR="003159E7" w:rsidRDefault="003159E7" w:rsidP="005451D6">
      <w:pPr>
        <w:jc w:val="both"/>
        <w:rPr>
          <w:rStyle w:val="eop"/>
        </w:rPr>
      </w:pPr>
    </w:p>
    <w:p w14:paraId="4FBBAE80" w14:textId="1C5EFC52" w:rsidR="006D0082" w:rsidRDefault="006D0082">
      <w:pPr>
        <w:pStyle w:val="Heading2"/>
      </w:pPr>
      <w:r w:rsidRPr="006D0082">
        <w:t>Transparent Schemes for PAPR Reduction</w:t>
      </w:r>
    </w:p>
    <w:p w14:paraId="400866EB" w14:textId="7697766F" w:rsidR="003C76D9" w:rsidRDefault="003C76D9" w:rsidP="00321F1A">
      <w:pPr>
        <w:jc w:val="both"/>
      </w:pPr>
      <w:r>
        <w:rPr>
          <w:rFonts w:eastAsia="MS Mincho"/>
          <w:lang w:eastAsia="en-GB"/>
        </w:rPr>
        <w:t>I</w:t>
      </w:r>
      <w:r w:rsidR="00736350" w:rsidRPr="00736350">
        <w:rPr>
          <w:rFonts w:eastAsia="MS Mincho"/>
          <w:lang w:eastAsia="en-GB"/>
        </w:rPr>
        <w:t>n</w:t>
      </w:r>
      <w:r>
        <w:rPr>
          <w:rFonts w:eastAsia="MS Mincho"/>
          <w:lang w:eastAsia="en-GB"/>
        </w:rPr>
        <w:t xml:space="preserve"> </w:t>
      </w:r>
      <w:r w:rsidR="00014398">
        <w:rPr>
          <w:rFonts w:eastAsia="MS Mincho"/>
          <w:lang w:eastAsia="en-GB"/>
        </w:rPr>
        <w:t>a previous</w:t>
      </w:r>
      <w:r>
        <w:rPr>
          <w:rFonts w:eastAsia="MS Mincho"/>
          <w:lang w:eastAsia="en-GB"/>
        </w:rPr>
        <w:t xml:space="preserve"> </w:t>
      </w:r>
      <w:r w:rsidR="00BA5223">
        <w:rPr>
          <w:rFonts w:eastAsia="MS Mincho"/>
          <w:lang w:eastAsia="en-GB"/>
        </w:rPr>
        <w:t xml:space="preserve">RAN1 </w:t>
      </w:r>
      <w:r>
        <w:rPr>
          <w:rFonts w:eastAsia="MS Mincho"/>
          <w:lang w:eastAsia="en-GB"/>
        </w:rPr>
        <w:t>meeting</w:t>
      </w:r>
      <w:r w:rsidR="00BA5223">
        <w:rPr>
          <w:rFonts w:eastAsia="MS Mincho"/>
          <w:lang w:eastAsia="en-GB"/>
        </w:rPr>
        <w:t xml:space="preserve"> (R1-111)</w:t>
      </w:r>
      <w:r>
        <w:rPr>
          <w:rFonts w:eastAsia="MS Mincho"/>
          <w:lang w:eastAsia="en-GB"/>
        </w:rPr>
        <w:t xml:space="preserve"> it was agreed that transparent waveform shaping techniques to reduce PAPR and consequently MPR can serve as a benchmark to assess the benefit of non-transparent waveform shaping techniques such as FDSS with BWE and tone reservation. Suggested techniques include </w:t>
      </w:r>
      <w:r w:rsidR="00736350" w:rsidRPr="00736350">
        <w:rPr>
          <w:rFonts w:eastAsia="MS Mincho"/>
          <w:lang w:eastAsia="en-GB"/>
        </w:rPr>
        <w:t>frequency domain spectrum shaping w/o spectrum extension</w:t>
      </w:r>
      <w:r>
        <w:rPr>
          <w:rFonts w:eastAsia="MS Mincho"/>
          <w:lang w:eastAsia="en-GB"/>
        </w:rPr>
        <w:t>, transparent peak cancellation</w:t>
      </w:r>
      <w:r w:rsidR="008D6C20">
        <w:rPr>
          <w:rFonts w:eastAsia="MS Mincho"/>
          <w:lang w:eastAsia="en-GB"/>
        </w:rPr>
        <w:t>,</w:t>
      </w:r>
      <w:r w:rsidR="00736350" w:rsidRPr="00736350">
        <w:rPr>
          <w:rFonts w:eastAsia="MS Mincho"/>
          <w:lang w:eastAsia="en-GB"/>
        </w:rPr>
        <w:t xml:space="preserve"> or schemes based on clipping and filtering</w:t>
      </w:r>
      <w:r>
        <w:rPr>
          <w:rFonts w:eastAsia="MS Mincho"/>
          <w:lang w:eastAsia="en-GB"/>
        </w:rPr>
        <w:t xml:space="preserve">. </w:t>
      </w:r>
    </w:p>
    <w:p w14:paraId="316E58DD" w14:textId="26B00B94" w:rsidR="003C76D9" w:rsidRDefault="003C76D9" w:rsidP="00321F1A">
      <w:pPr>
        <w:jc w:val="both"/>
        <w:rPr>
          <w:lang w:val="en-GB"/>
        </w:rPr>
      </w:pPr>
      <w:r>
        <w:rPr>
          <w:lang w:val="en-GB"/>
        </w:rPr>
        <w:t xml:space="preserve">Towards this, we present results on MPR </w:t>
      </w:r>
      <w:r w:rsidR="008D6C20">
        <w:rPr>
          <w:lang w:val="en-GB"/>
        </w:rPr>
        <w:t xml:space="preserve">using the raw waveform and compare it to a transparent peak cancellation (TrPC) scheme that leverages the data tones to construct a peak cancelling kernel that is then used to reduce the PAPR of the raw waveform. In effect, such a scheme trades off the relaxed EVM requirement for a QPSK DFT-S-OFDM waveform for better PAPR characteristics. Once the peak cancelling kernel is constructed, SCR-TR algorithm [3] is used to cancel the peaks in the waveform. </w:t>
      </w:r>
    </w:p>
    <w:p w14:paraId="553A3293" w14:textId="77777777" w:rsidR="001E5E06" w:rsidRDefault="00053B58" w:rsidP="00321F1A">
      <w:pPr>
        <w:keepNext/>
        <w:jc w:val="center"/>
      </w:pPr>
      <w:r>
        <w:rPr>
          <w:noProof/>
          <w:lang w:val="en-GB"/>
        </w:rPr>
        <w:drawing>
          <wp:inline distT="0" distB="0" distL="0" distR="0" wp14:anchorId="309E9B23" wp14:editId="56CF1A6B">
            <wp:extent cx="2860535" cy="223919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0651" cy="2247109"/>
                    </a:xfrm>
                    <a:prstGeom prst="rect">
                      <a:avLst/>
                    </a:prstGeom>
                    <a:noFill/>
                  </pic:spPr>
                </pic:pic>
              </a:graphicData>
            </a:graphic>
          </wp:inline>
        </w:drawing>
      </w:r>
    </w:p>
    <w:p w14:paraId="44AE29C0" w14:textId="7599BE17" w:rsidR="003C76D9" w:rsidRPr="00CF28AB" w:rsidRDefault="001E5E06" w:rsidP="00321F1A">
      <w:pPr>
        <w:pStyle w:val="Caption"/>
        <w:jc w:val="center"/>
        <w:rPr>
          <w:color w:val="000000" w:themeColor="text1"/>
        </w:rPr>
      </w:pPr>
      <w:r w:rsidRPr="00CF28AB">
        <w:rPr>
          <w:color w:val="000000" w:themeColor="text1"/>
        </w:rPr>
        <w:t xml:space="preserve">Figure </w:t>
      </w:r>
      <w:r w:rsidRPr="00CF28AB">
        <w:rPr>
          <w:color w:val="000000" w:themeColor="text1"/>
        </w:rPr>
        <w:fldChar w:fldCharType="begin"/>
      </w:r>
      <w:r w:rsidRPr="00CF28AB">
        <w:rPr>
          <w:color w:val="000000" w:themeColor="text1"/>
        </w:rPr>
        <w:instrText xml:space="preserve"> SEQ Figure \* ARABIC </w:instrText>
      </w:r>
      <w:r w:rsidRPr="00CF28AB">
        <w:rPr>
          <w:color w:val="000000" w:themeColor="text1"/>
        </w:rPr>
        <w:fldChar w:fldCharType="separate"/>
      </w:r>
      <w:r w:rsidR="00EA7EC4">
        <w:rPr>
          <w:noProof/>
          <w:color w:val="000000" w:themeColor="text1"/>
        </w:rPr>
        <w:t>3</w:t>
      </w:r>
      <w:r w:rsidRPr="00CF28AB">
        <w:rPr>
          <w:color w:val="000000" w:themeColor="text1"/>
        </w:rPr>
        <w:fldChar w:fldCharType="end"/>
      </w:r>
      <w:r w:rsidRPr="00CF28AB">
        <w:rPr>
          <w:color w:val="000000" w:themeColor="text1"/>
        </w:rPr>
        <w:t xml:space="preserve"> Transparent peak cancellation using data tones for </w:t>
      </w:r>
      <w:r w:rsidR="00BA5223" w:rsidRPr="00CF28AB">
        <w:rPr>
          <w:color w:val="000000" w:themeColor="text1"/>
        </w:rPr>
        <w:t>constructing</w:t>
      </w:r>
      <w:r w:rsidRPr="00CF28AB">
        <w:rPr>
          <w:color w:val="000000" w:themeColor="text1"/>
        </w:rPr>
        <w:t xml:space="preserve"> a peak </w:t>
      </w:r>
      <w:r w:rsidR="00BA5223" w:rsidRPr="00CF28AB">
        <w:rPr>
          <w:color w:val="000000" w:themeColor="text1"/>
        </w:rPr>
        <w:t>cancelling</w:t>
      </w:r>
      <w:r w:rsidRPr="00CF28AB">
        <w:rPr>
          <w:color w:val="000000" w:themeColor="text1"/>
        </w:rPr>
        <w:t xml:space="preserve"> kernel.</w:t>
      </w:r>
    </w:p>
    <w:p w14:paraId="03029A81" w14:textId="231E4923" w:rsidR="006D0082" w:rsidRDefault="00204E5C" w:rsidP="00321F1A">
      <w:pPr>
        <w:jc w:val="both"/>
        <w:rPr>
          <w:lang w:val="en-GB"/>
        </w:rPr>
      </w:pPr>
      <w:r>
        <w:rPr>
          <w:lang w:val="en-GB"/>
        </w:rPr>
        <w:t>Note that such an approach incurs no additional cost to the network and no additional resources are used.</w:t>
      </w:r>
    </w:p>
    <w:p w14:paraId="1B26DA50" w14:textId="0EA024C5" w:rsidR="003F6583" w:rsidRDefault="00204E5C" w:rsidP="00321F1A">
      <w:pPr>
        <w:jc w:val="both"/>
        <w:rPr>
          <w:lang w:val="en-GB"/>
        </w:rPr>
      </w:pPr>
      <w:r>
        <w:rPr>
          <w:lang w:val="en-GB"/>
        </w:rPr>
        <w:t xml:space="preserve">Using such an approach, </w:t>
      </w:r>
      <w:r w:rsidR="00AF7466">
        <w:rPr>
          <w:lang w:val="en-GB"/>
        </w:rPr>
        <w:t xml:space="preserve">raw waveforms are shaped to reduce their PAPR characteristics and then passed through an RF simulator to </w:t>
      </w:r>
      <w:r w:rsidR="00671F9B">
        <w:rPr>
          <w:lang w:val="en-GB"/>
        </w:rPr>
        <w:t xml:space="preserve">determine the </w:t>
      </w:r>
      <w:r w:rsidR="00D935BD">
        <w:rPr>
          <w:lang w:val="en-GB"/>
        </w:rPr>
        <w:t>resulting MPR</w:t>
      </w:r>
      <w:r w:rsidR="00671F9B">
        <w:rPr>
          <w:lang w:val="en-GB"/>
        </w:rPr>
        <w:t>.</w:t>
      </w:r>
      <w:r w:rsidR="00B41A0E">
        <w:rPr>
          <w:lang w:val="en-GB"/>
        </w:rPr>
        <w:t xml:space="preserve"> A PC2 PA model is used and the </w:t>
      </w:r>
      <w:r w:rsidR="00EE1CE4">
        <w:rPr>
          <w:lang w:val="en-GB"/>
        </w:rPr>
        <w:t xml:space="preserve">maximum </w:t>
      </w:r>
      <w:r w:rsidR="00B41A0E">
        <w:rPr>
          <w:lang w:val="en-GB"/>
        </w:rPr>
        <w:t xml:space="preserve">output power at which the EVM, ACLR, IBE and SEM </w:t>
      </w:r>
      <w:r w:rsidR="00EE1CE4">
        <w:rPr>
          <w:lang w:val="en-GB"/>
        </w:rPr>
        <w:t>constraints are all met determines the maximum transmit power for that waveform and consequently its MPR.</w:t>
      </w:r>
      <w:r w:rsidR="00671F9B">
        <w:rPr>
          <w:lang w:val="en-GB"/>
        </w:rPr>
        <w:t xml:space="preserve"> In the following figures, MPR and </w:t>
      </w:r>
      <w:r w:rsidR="00D935BD">
        <w:rPr>
          <w:lang w:val="en-GB"/>
        </w:rPr>
        <w:t xml:space="preserve">the potential power boost </w:t>
      </w:r>
      <w:r w:rsidR="00671F9B">
        <w:rPr>
          <w:lang w:val="en-GB"/>
        </w:rPr>
        <w:t xml:space="preserve">using this transparent technique </w:t>
      </w:r>
      <w:r w:rsidR="00D935BD">
        <w:rPr>
          <w:lang w:val="en-GB"/>
        </w:rPr>
        <w:t>are plotted</w:t>
      </w:r>
      <w:r w:rsidR="00671F9B">
        <w:rPr>
          <w:lang w:val="en-GB"/>
        </w:rPr>
        <w:t>.</w:t>
      </w:r>
    </w:p>
    <w:tbl>
      <w:tblPr>
        <w:tblStyle w:val="TableGrid"/>
        <w:tblW w:w="0" w:type="auto"/>
        <w:tblLook w:val="04A0" w:firstRow="1" w:lastRow="0" w:firstColumn="1" w:lastColumn="0" w:noHBand="0" w:noVBand="1"/>
      </w:tblPr>
      <w:tblGrid>
        <w:gridCol w:w="4654"/>
        <w:gridCol w:w="4696"/>
      </w:tblGrid>
      <w:tr w:rsidR="009C648F" w14:paraId="71960644" w14:textId="77777777" w:rsidTr="003F6583">
        <w:tc>
          <w:tcPr>
            <w:tcW w:w="4675" w:type="dxa"/>
          </w:tcPr>
          <w:p w14:paraId="57D65420" w14:textId="30AF5596" w:rsidR="003F6583" w:rsidRDefault="00B43AF3" w:rsidP="00321F1A">
            <w:pPr>
              <w:jc w:val="center"/>
            </w:pPr>
            <w:r w:rsidRPr="00B43AF3">
              <w:rPr>
                <w:rFonts w:eastAsia="SimSun"/>
                <w:noProof/>
                <w:lang w:val="en-US" w:eastAsia="en-US"/>
              </w:rPr>
              <w:t xml:space="preserve"> </w:t>
            </w:r>
            <w:r w:rsidRPr="00B43AF3">
              <w:rPr>
                <w:noProof/>
              </w:rPr>
              <w:drawing>
                <wp:inline distT="0" distB="0" distL="0" distR="0" wp14:anchorId="4A079DB0" wp14:editId="32B64106">
                  <wp:extent cx="2858213" cy="2153516"/>
                  <wp:effectExtent l="0" t="0" r="0" b="0"/>
                  <wp:docPr id="127" name="Picture 127">
                    <a:extLst xmlns:a="http://schemas.openxmlformats.org/drawingml/2006/main">
                      <a:ext uri="{FF2B5EF4-FFF2-40B4-BE49-F238E27FC236}">
                        <a16:creationId xmlns:a16="http://schemas.microsoft.com/office/drawing/2014/main" id="{DBC468A1-1A30-55E2-291A-192747475F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BC468A1-1A30-55E2-291A-192747475F41}"/>
                              </a:ext>
                            </a:extLst>
                          </pic:cNvPr>
                          <pic:cNvPicPr>
                            <a:picLocks noGrp="1" noChangeAspect="1"/>
                          </pic:cNvPicPr>
                        </pic:nvPicPr>
                        <pic:blipFill>
                          <a:blip r:embed="rId12"/>
                          <a:stretch>
                            <a:fillRect/>
                          </a:stretch>
                        </pic:blipFill>
                        <pic:spPr>
                          <a:xfrm>
                            <a:off x="0" y="0"/>
                            <a:ext cx="2883655" cy="2172685"/>
                          </a:xfrm>
                          <a:prstGeom prst="rect">
                            <a:avLst/>
                          </a:prstGeom>
                        </pic:spPr>
                      </pic:pic>
                    </a:graphicData>
                  </a:graphic>
                </wp:inline>
              </w:drawing>
            </w:r>
          </w:p>
        </w:tc>
        <w:tc>
          <w:tcPr>
            <w:tcW w:w="4675" w:type="dxa"/>
          </w:tcPr>
          <w:p w14:paraId="54663F44" w14:textId="517321ED" w:rsidR="003F6583" w:rsidRDefault="004C257C" w:rsidP="00321F1A">
            <w:pPr>
              <w:keepNext/>
              <w:jc w:val="center"/>
            </w:pPr>
            <w:r w:rsidRPr="004C257C">
              <w:rPr>
                <w:rFonts w:eastAsia="SimSun"/>
                <w:noProof/>
                <w:lang w:val="en-US" w:eastAsia="en-US"/>
              </w:rPr>
              <w:t xml:space="preserve"> </w:t>
            </w:r>
            <w:r w:rsidRPr="004C257C">
              <w:rPr>
                <w:noProof/>
              </w:rPr>
              <w:drawing>
                <wp:inline distT="0" distB="0" distL="0" distR="0" wp14:anchorId="53DCD016" wp14:editId="60C227DC">
                  <wp:extent cx="2884917" cy="2151380"/>
                  <wp:effectExtent l="0" t="0" r="0" b="1270"/>
                  <wp:docPr id="126" name="Picture 126">
                    <a:extLst xmlns:a="http://schemas.openxmlformats.org/drawingml/2006/main">
                      <a:ext uri="{FF2B5EF4-FFF2-40B4-BE49-F238E27FC236}">
                        <a16:creationId xmlns:a16="http://schemas.microsoft.com/office/drawing/2014/main" id="{D85BCCFB-3C0D-637A-78C1-B993707339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85BCCFB-3C0D-637A-78C1-B9937073398B}"/>
                              </a:ext>
                            </a:extLst>
                          </pic:cNvPr>
                          <pic:cNvPicPr>
                            <a:picLocks noChangeAspect="1"/>
                          </pic:cNvPicPr>
                        </pic:nvPicPr>
                        <pic:blipFill>
                          <a:blip r:embed="rId13"/>
                          <a:stretch>
                            <a:fillRect/>
                          </a:stretch>
                        </pic:blipFill>
                        <pic:spPr>
                          <a:xfrm>
                            <a:off x="0" y="0"/>
                            <a:ext cx="2930061" cy="2185045"/>
                          </a:xfrm>
                          <a:prstGeom prst="rect">
                            <a:avLst/>
                          </a:prstGeom>
                        </pic:spPr>
                      </pic:pic>
                    </a:graphicData>
                  </a:graphic>
                </wp:inline>
              </w:drawing>
            </w:r>
          </w:p>
        </w:tc>
      </w:tr>
    </w:tbl>
    <w:p w14:paraId="56BA00DA" w14:textId="44C9AEB3" w:rsidR="003F6583" w:rsidRPr="00CF28AB" w:rsidRDefault="003F6583" w:rsidP="00321F1A">
      <w:pPr>
        <w:pStyle w:val="Caption"/>
        <w:jc w:val="center"/>
        <w:rPr>
          <w:color w:val="000000" w:themeColor="text1"/>
        </w:rPr>
      </w:pPr>
      <w:bookmarkStart w:id="3" w:name="_Ref127474920"/>
      <w:r w:rsidRPr="00CF28AB">
        <w:rPr>
          <w:color w:val="000000" w:themeColor="text1"/>
        </w:rPr>
        <w:t xml:space="preserve">Figure </w:t>
      </w:r>
      <w:r w:rsidRPr="00CF28AB">
        <w:rPr>
          <w:color w:val="000000" w:themeColor="text1"/>
        </w:rPr>
        <w:fldChar w:fldCharType="begin"/>
      </w:r>
      <w:r w:rsidRPr="00CF28AB">
        <w:rPr>
          <w:color w:val="000000" w:themeColor="text1"/>
        </w:rPr>
        <w:instrText xml:space="preserve"> SEQ Figure \* ARABIC </w:instrText>
      </w:r>
      <w:r w:rsidRPr="00CF28AB">
        <w:rPr>
          <w:color w:val="000000" w:themeColor="text1"/>
        </w:rPr>
        <w:fldChar w:fldCharType="separate"/>
      </w:r>
      <w:r w:rsidR="00EA7EC4">
        <w:rPr>
          <w:noProof/>
          <w:color w:val="000000" w:themeColor="text1"/>
        </w:rPr>
        <w:t>4</w:t>
      </w:r>
      <w:r w:rsidRPr="00CF28AB">
        <w:rPr>
          <w:color w:val="000000" w:themeColor="text1"/>
        </w:rPr>
        <w:fldChar w:fldCharType="end"/>
      </w:r>
      <w:bookmarkEnd w:id="3"/>
      <w:r w:rsidRPr="00CF28AB">
        <w:rPr>
          <w:color w:val="000000" w:themeColor="text1"/>
        </w:rPr>
        <w:t xml:space="preserve"> MPR and Power boost values using Transparent Peak Cancellation</w:t>
      </w:r>
      <w:r w:rsidR="00984C2E" w:rsidRPr="00CF28AB">
        <w:rPr>
          <w:color w:val="000000" w:themeColor="text1"/>
        </w:rPr>
        <w:t xml:space="preserve"> (TrPC)</w:t>
      </w:r>
      <w:r w:rsidR="00D8379A" w:rsidRPr="00CF28AB">
        <w:rPr>
          <w:color w:val="000000" w:themeColor="text1"/>
        </w:rPr>
        <w:t xml:space="preserve">. </w:t>
      </w:r>
      <w:r w:rsidR="000938A3" w:rsidRPr="00CF28AB">
        <w:rPr>
          <w:color w:val="000000" w:themeColor="text1"/>
        </w:rPr>
        <w:t xml:space="preserve">Every data point corresponds to an allocation with a given start RB and </w:t>
      </w:r>
      <w:r w:rsidR="00337205" w:rsidRPr="00CF28AB">
        <w:rPr>
          <w:color w:val="000000" w:themeColor="text1"/>
        </w:rPr>
        <w:t>given length (LCRB).</w:t>
      </w:r>
    </w:p>
    <w:p w14:paraId="4E0DD3C7" w14:textId="2A4F3421" w:rsidR="00C56E10" w:rsidRDefault="00C56E10" w:rsidP="0040027A">
      <w:pPr>
        <w:jc w:val="center"/>
      </w:pPr>
    </w:p>
    <w:p w14:paraId="4A14C60D" w14:textId="620400C0" w:rsidR="00A36888" w:rsidRDefault="00A36888" w:rsidP="00321F1A">
      <w:pPr>
        <w:jc w:val="both"/>
      </w:pPr>
      <w:r>
        <w:lastRenderedPageBreak/>
        <w:t>As seen in</w:t>
      </w:r>
      <w:r w:rsidR="005E7FC4">
        <w:t xml:space="preserve"> </w:t>
      </w:r>
      <w:r w:rsidR="005E7FC4">
        <w:fldChar w:fldCharType="begin"/>
      </w:r>
      <w:r w:rsidR="005E7FC4">
        <w:instrText xml:space="preserve"> REF _Ref127474920 \h </w:instrText>
      </w:r>
      <w:r w:rsidR="005E7FC4">
        <w:fldChar w:fldCharType="separate"/>
      </w:r>
      <w:r w:rsidR="00EA7EC4" w:rsidRPr="00CF28AB">
        <w:rPr>
          <w:color w:val="000000" w:themeColor="text1"/>
        </w:rPr>
        <w:t xml:space="preserve">Figure </w:t>
      </w:r>
      <w:r w:rsidR="00EA7EC4">
        <w:rPr>
          <w:noProof/>
          <w:color w:val="000000" w:themeColor="text1"/>
        </w:rPr>
        <w:t>4</w:t>
      </w:r>
      <w:r w:rsidR="005E7FC4">
        <w:fldChar w:fldCharType="end"/>
      </w:r>
      <w:r>
        <w:t xml:space="preserve">, </w:t>
      </w:r>
      <w:r w:rsidR="003C09F5">
        <w:t xml:space="preserve">for inner RB allocations, 0 dB MPR suffices, while for outer RB allocations, </w:t>
      </w:r>
      <w:r w:rsidR="00106BA4">
        <w:t>&lt; 1 dB of MPR i</w:t>
      </w:r>
      <w:r w:rsidR="003473A6">
        <w:t>s</w:t>
      </w:r>
      <w:r w:rsidR="00106BA4">
        <w:t xml:space="preserve"> required. Further, it is seen that for inner RB allocations, it is in fact possible to </w:t>
      </w:r>
      <w:r w:rsidR="0018600B">
        <w:t xml:space="preserve">transmit at a power higher than PC2 power class. </w:t>
      </w:r>
      <w:r w:rsidR="004E2830">
        <w:t>It appears that a power boost of up to 1.</w:t>
      </w:r>
      <w:r w:rsidR="00E161C3">
        <w:t>6</w:t>
      </w:r>
      <w:r w:rsidR="004E2830">
        <w:t xml:space="preserve"> dB is possible for inner RB allocations</w:t>
      </w:r>
      <w:r w:rsidR="00B1558C">
        <w:t xml:space="preserve"> with small</w:t>
      </w:r>
      <w:r w:rsidR="00D608B3">
        <w:t xml:space="preserve"> number of</w:t>
      </w:r>
      <w:r w:rsidR="00B1558C">
        <w:t xml:space="preserve"> RBs</w:t>
      </w:r>
      <w:r w:rsidR="004E2830">
        <w:t xml:space="preserve">. </w:t>
      </w:r>
    </w:p>
    <w:p w14:paraId="6AA66D34" w14:textId="0F733D6C" w:rsidR="007A146A" w:rsidRPr="00321F1A" w:rsidRDefault="007A146A" w:rsidP="00321F1A">
      <w:pPr>
        <w:jc w:val="both"/>
        <w:rPr>
          <w:b/>
          <w:bCs/>
          <w:u w:val="single"/>
        </w:rPr>
      </w:pPr>
      <w:r w:rsidRPr="00321F1A">
        <w:rPr>
          <w:b/>
          <w:bCs/>
          <w:u w:val="single"/>
        </w:rPr>
        <w:t>Caveats on power boost</w:t>
      </w:r>
    </w:p>
    <w:p w14:paraId="53081154" w14:textId="452782E0" w:rsidR="007A146A" w:rsidRDefault="007A146A" w:rsidP="003979B4">
      <w:pPr>
        <w:jc w:val="both"/>
      </w:pPr>
      <w:r>
        <w:t xml:space="preserve">It is non-trivial for a </w:t>
      </w:r>
      <w:r w:rsidR="00AD5CE7">
        <w:t xml:space="preserve">PC2 </w:t>
      </w:r>
      <w:r>
        <w:t xml:space="preserve">UE </w:t>
      </w:r>
      <w:r w:rsidR="00AD5CE7">
        <w:t xml:space="preserve">to transmit at powers greater than 26 dBm. Several RF challenges arise and the overall feasibility and reliability of such a UE warrants </w:t>
      </w:r>
      <w:r w:rsidR="00A31798">
        <w:t>scrutiny</w:t>
      </w:r>
      <w:r w:rsidR="00AD5CE7">
        <w:t>. In particular,</w:t>
      </w:r>
      <w:r w:rsidR="006B3E98">
        <w:t xml:space="preserve"> the additional input current to a PA and its implication on the design of the RF transceiver, </w:t>
      </w:r>
      <w:r w:rsidR="00D079B3">
        <w:t xml:space="preserve">thermal issues, reliability issues around RF components that have to sustain larger powers need to be examined closely. </w:t>
      </w:r>
    </w:p>
    <w:tbl>
      <w:tblPr>
        <w:tblStyle w:val="TableGrid"/>
        <w:tblW w:w="0" w:type="auto"/>
        <w:tblLook w:val="04A0" w:firstRow="1" w:lastRow="0" w:firstColumn="1" w:lastColumn="0" w:noHBand="0" w:noVBand="1"/>
      </w:tblPr>
      <w:tblGrid>
        <w:gridCol w:w="9350"/>
      </w:tblGrid>
      <w:tr w:rsidR="00B453E1" w14:paraId="1F24D44E" w14:textId="77777777" w:rsidTr="00B453E1">
        <w:tc>
          <w:tcPr>
            <w:tcW w:w="9350" w:type="dxa"/>
          </w:tcPr>
          <w:p w14:paraId="4664ABEF" w14:textId="5216FE28" w:rsidR="00B453E1" w:rsidRDefault="00B453E1" w:rsidP="003979B4">
            <w:pPr>
              <w:jc w:val="both"/>
            </w:pPr>
            <w:r w:rsidRPr="008B4038">
              <w:rPr>
                <w:b/>
                <w:bCs/>
              </w:rPr>
              <w:t>Observation</w:t>
            </w:r>
            <w:r w:rsidR="00061308">
              <w:rPr>
                <w:b/>
                <w:bCs/>
              </w:rPr>
              <w:t xml:space="preserve"> 2</w:t>
            </w:r>
            <w:r w:rsidRPr="008B4038">
              <w:rPr>
                <w:b/>
                <w:bCs/>
              </w:rPr>
              <w:t>:</w:t>
            </w:r>
            <w:r>
              <w:t xml:space="preserve"> For a PC2 UE, using transparent techniques such transparent peak cancellation, </w:t>
            </w:r>
            <w:r w:rsidR="00337205">
              <w:t>a power</w:t>
            </w:r>
            <w:r>
              <w:t xml:space="preserve"> boost of about 1-1.5 dB seems feasible for inner RB allocations. 1 dB MPR on outer RB </w:t>
            </w:r>
            <w:r w:rsidR="00337205">
              <w:t>allocations may</w:t>
            </w:r>
            <w:r>
              <w:t xml:space="preserve"> still be required</w:t>
            </w:r>
            <w:r w:rsidR="006E31A3">
              <w:t>, primarily due to large RB allocations</w:t>
            </w:r>
            <w:r w:rsidR="009D3CCA">
              <w:t xml:space="preserve"> spanning more than 50% of the entire BW</w:t>
            </w:r>
            <w:r>
              <w:t>. Note that these results do not take other RF implementation challenges into account.</w:t>
            </w:r>
          </w:p>
        </w:tc>
      </w:tr>
    </w:tbl>
    <w:p w14:paraId="622FB93F" w14:textId="77777777" w:rsidR="00B453E1" w:rsidRDefault="00B453E1" w:rsidP="00321F1A">
      <w:pPr>
        <w:jc w:val="both"/>
      </w:pPr>
    </w:p>
    <w:p w14:paraId="46B635FE" w14:textId="70C96503" w:rsidR="00A36888" w:rsidRDefault="00B972C8" w:rsidP="003979B4">
      <w:pPr>
        <w:jc w:val="both"/>
      </w:pPr>
      <w:r>
        <w:t xml:space="preserve">Any non-transparent scheme will need to out-perform transparent techniques </w:t>
      </w:r>
      <w:r w:rsidR="003979B4">
        <w:t>such</w:t>
      </w:r>
      <w:r w:rsidR="001A2632">
        <w:t xml:space="preserve"> as</w:t>
      </w:r>
      <w:r w:rsidR="003979B4">
        <w:t xml:space="preserve"> TrPC to be considered for specification</w:t>
      </w:r>
      <w:r w:rsidR="001A2632">
        <w:t xml:space="preserve"> in 5G NR</w:t>
      </w:r>
      <w:r w:rsidR="003979B4">
        <w:t xml:space="preserve">. </w:t>
      </w:r>
      <w:r w:rsidR="0081686F">
        <w:t xml:space="preserve">Since there is no SNR loss associated with transparent techniques, </w:t>
      </w:r>
      <w:r w:rsidR="00BB33C4">
        <w:t>power boost directly translates to coverage gain. The following table summarizes the coverage gain possible for inner RB allocations for the 10 scenarios identified for further study:</w:t>
      </w:r>
    </w:p>
    <w:p w14:paraId="3059646F" w14:textId="5B743248" w:rsidR="00BB33C4" w:rsidRPr="00321F1A" w:rsidRDefault="00BB33C4" w:rsidP="00321F1A">
      <w:pPr>
        <w:pStyle w:val="Caption"/>
        <w:keepNext/>
        <w:jc w:val="center"/>
        <w:rPr>
          <w:b/>
        </w:rPr>
      </w:pPr>
      <w:r w:rsidRPr="00321F1A">
        <w:rPr>
          <w:b/>
          <w:bCs/>
          <w:sz w:val="20"/>
          <w:szCs w:val="20"/>
        </w:rPr>
        <w:t xml:space="preserve">Table </w:t>
      </w:r>
      <w:r w:rsidRPr="00321F1A">
        <w:rPr>
          <w:b/>
          <w:bCs/>
          <w:sz w:val="20"/>
          <w:szCs w:val="20"/>
        </w:rPr>
        <w:fldChar w:fldCharType="begin"/>
      </w:r>
      <w:r w:rsidRPr="00321F1A">
        <w:rPr>
          <w:b/>
          <w:bCs/>
          <w:sz w:val="20"/>
          <w:szCs w:val="20"/>
        </w:rPr>
        <w:instrText xml:space="preserve"> SEQ Table \* ARABIC </w:instrText>
      </w:r>
      <w:r w:rsidRPr="00321F1A">
        <w:rPr>
          <w:b/>
          <w:bCs/>
          <w:sz w:val="20"/>
          <w:szCs w:val="20"/>
        </w:rPr>
        <w:fldChar w:fldCharType="separate"/>
      </w:r>
      <w:r w:rsidR="00EA7EC4">
        <w:rPr>
          <w:b/>
          <w:bCs/>
          <w:noProof/>
          <w:sz w:val="20"/>
          <w:szCs w:val="20"/>
        </w:rPr>
        <w:t>2</w:t>
      </w:r>
      <w:r w:rsidRPr="00321F1A">
        <w:rPr>
          <w:b/>
          <w:bCs/>
          <w:sz w:val="20"/>
          <w:szCs w:val="20"/>
        </w:rPr>
        <w:fldChar w:fldCharType="end"/>
      </w:r>
      <w:r w:rsidRPr="00321F1A">
        <w:rPr>
          <w:b/>
          <w:bCs/>
          <w:sz w:val="20"/>
          <w:szCs w:val="20"/>
        </w:rPr>
        <w:t xml:space="preserve"> Coverage gain using transparent </w:t>
      </w:r>
      <w:r w:rsidR="00F514F5" w:rsidRPr="00321F1A">
        <w:rPr>
          <w:b/>
          <w:bCs/>
          <w:sz w:val="20"/>
          <w:szCs w:val="20"/>
        </w:rPr>
        <w:t>techniques.</w:t>
      </w:r>
    </w:p>
    <w:tbl>
      <w:tblPr>
        <w:tblW w:w="4188" w:type="pct"/>
        <w:jc w:val="center"/>
        <w:tblCellMar>
          <w:left w:w="0" w:type="dxa"/>
          <w:right w:w="0" w:type="dxa"/>
        </w:tblCellMar>
        <w:tblLook w:val="04A0" w:firstRow="1" w:lastRow="0" w:firstColumn="1" w:lastColumn="0" w:noHBand="0" w:noVBand="1"/>
      </w:tblPr>
      <w:tblGrid>
        <w:gridCol w:w="698"/>
        <w:gridCol w:w="839"/>
        <w:gridCol w:w="662"/>
        <w:gridCol w:w="1074"/>
        <w:gridCol w:w="1074"/>
        <w:gridCol w:w="476"/>
        <w:gridCol w:w="893"/>
        <w:gridCol w:w="589"/>
        <w:gridCol w:w="806"/>
        <w:gridCol w:w="712"/>
      </w:tblGrid>
      <w:tr w:rsidR="00633122" w:rsidRPr="00E41AA4" w14:paraId="3C3E8F6B" w14:textId="77777777" w:rsidTr="009A68CF">
        <w:trPr>
          <w:trHeight w:val="626"/>
          <w:jc w:val="center"/>
        </w:trPr>
        <w:tc>
          <w:tcPr>
            <w:tcW w:w="447" w:type="pct"/>
            <w:tcBorders>
              <w:top w:val="single" w:sz="8" w:space="0" w:color="F7F8FA"/>
              <w:left w:val="single" w:sz="8" w:space="0" w:color="F7F8FA"/>
              <w:bottom w:val="single" w:sz="24" w:space="0" w:color="F7F8FA"/>
              <w:right w:val="single" w:sz="8" w:space="0" w:color="F7F8FA"/>
            </w:tcBorders>
            <w:shd w:val="clear" w:color="auto" w:fill="2853DC"/>
            <w:vAlign w:val="center"/>
          </w:tcPr>
          <w:p w14:paraId="6DA0D51B" w14:textId="11568DC3" w:rsidR="00633122" w:rsidRPr="00E41AA4"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9"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B22BB93"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47"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E82B3F5"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6"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73E8D05"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5B4ADDF"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5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F7EE833"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633122" w:rsidRPr="00E41AA4" w14:paraId="0B2E522C" w14:textId="77777777" w:rsidTr="009A68CF">
        <w:trPr>
          <w:trHeight w:val="1251"/>
          <w:jc w:val="center"/>
        </w:trPr>
        <w:tc>
          <w:tcPr>
            <w:tcW w:w="447" w:type="pct"/>
            <w:tcBorders>
              <w:top w:val="single" w:sz="24" w:space="0" w:color="F7F8FA"/>
              <w:left w:val="single" w:sz="8" w:space="0" w:color="F7F8FA"/>
              <w:bottom w:val="single" w:sz="8" w:space="0" w:color="F7F8FA"/>
              <w:right w:val="single" w:sz="8" w:space="0" w:color="F7F8FA"/>
            </w:tcBorders>
            <w:shd w:val="clear" w:color="auto" w:fill="2853DC"/>
            <w:vAlign w:val="center"/>
          </w:tcPr>
          <w:p w14:paraId="58BD7469" w14:textId="77777777" w:rsidR="00633122" w:rsidRPr="008B403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color w:val="F7F8FA"/>
                <w:kern w:val="24"/>
              </w:rPr>
            </w:pPr>
          </w:p>
        </w:tc>
        <w:tc>
          <w:tcPr>
            <w:tcW w:w="53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B82F37"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422"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0F852AE"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68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188C73D"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68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7502388"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30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8701756"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7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F3C1814"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7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F74AF4E" w14:textId="77777777" w:rsidR="00633122" w:rsidRPr="008B4038" w:rsidRDefault="00633122" w:rsidP="002D1BE8">
            <w:pPr>
              <w:overflowPunct/>
              <w:autoSpaceDE/>
              <w:autoSpaceDN/>
              <w:adjustRightInd/>
              <w:spacing w:after="0"/>
              <w:textAlignment w:val="auto"/>
              <w:rPr>
                <w:rFonts w:ascii="Arial" w:eastAsia="Times New Roman" w:hAnsi="Arial" w:cs="Arial"/>
              </w:rPr>
            </w:pPr>
          </w:p>
        </w:tc>
        <w:tc>
          <w:tcPr>
            <w:tcW w:w="51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A75F65C" w14:textId="76AF1930" w:rsidR="00633122" w:rsidRPr="008B4038" w:rsidRDefault="00633122" w:rsidP="002D1BE8">
            <w:pPr>
              <w:overflowPunct/>
              <w:autoSpaceDE/>
              <w:autoSpaceDN/>
              <w:adjustRightInd/>
              <w:spacing w:after="0"/>
              <w:jc w:val="center"/>
              <w:textAlignment w:val="auto"/>
              <w:rPr>
                <w:rFonts w:ascii="Arial" w:eastAsia="Times New Roman" w:hAnsi="Arial" w:cs="Arial"/>
              </w:rPr>
            </w:pPr>
          </w:p>
        </w:tc>
        <w:tc>
          <w:tcPr>
            <w:tcW w:w="45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A791C02" w14:textId="77777777" w:rsidR="00633122" w:rsidRPr="008B4038" w:rsidRDefault="00633122" w:rsidP="002D1BE8">
            <w:pPr>
              <w:overflowPunct/>
              <w:autoSpaceDE/>
              <w:autoSpaceDN/>
              <w:adjustRightInd/>
              <w:spacing w:after="0"/>
              <w:textAlignment w:val="auto"/>
              <w:rPr>
                <w:rFonts w:ascii="Arial" w:eastAsia="Times New Roman" w:hAnsi="Arial" w:cs="Arial"/>
              </w:rPr>
            </w:pPr>
          </w:p>
        </w:tc>
      </w:tr>
      <w:tr w:rsidR="00633122" w:rsidRPr="002D1BE8" w14:paraId="04C725EE"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3E890EAA" w14:textId="40892551"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1</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4C0F1D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0A664D"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7</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035D6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242D6A"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EEF6E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F83BD82" w14:textId="54980149"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C0A1524"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9D9FC05" w14:textId="004D11CB"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A5FB8D" w14:textId="7E40ADDA"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r>
      <w:tr w:rsidR="00633122" w:rsidRPr="002D1BE8" w14:paraId="7DB83B10"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4113F25F" w14:textId="68696618"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2</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C85501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15F5ED8"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2C67D6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28</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3C5B8DA"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351545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9</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21D82F2" w14:textId="66763C69"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3542A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349BD41" w14:textId="286CE74E"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EE4B3F" w14:textId="58683761"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633122" w:rsidRPr="002D1BE8" w14:paraId="4CFB67DF"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4905006B" w14:textId="2E7EA679"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3</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3A072F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D6889A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E76F1E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42A804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D883CC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E913481" w14:textId="60F881C0"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397FCE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8CDDAB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C4BC20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633122" w:rsidRPr="002D1BE8" w14:paraId="2DE7449F"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798B798F" w14:textId="4BC53E2F"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4</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E5DB18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B71307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5CE83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745A5E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5F9740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E5929B" w14:textId="38969B63"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B35F82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07E0B0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7A902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633122" w:rsidRPr="002D1BE8" w14:paraId="199F006C"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26D293F2" w14:textId="68EF5CD3"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5</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9A2E88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BEAED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45A83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252744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044D4F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BABC31A" w14:textId="04D3E961"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768AA7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55F7D68"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B5AB5C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r>
      <w:tr w:rsidR="00633122" w:rsidRPr="002D1BE8" w14:paraId="01984CB0"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0A0F9E06" w14:textId="41C8FCFE"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6</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0DDBCB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59D57F4"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043EA3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30</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87CC06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EF193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3A86533" w14:textId="50ACDB7F"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E3F0AC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38E39E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251490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r>
      <w:tr w:rsidR="00633122" w:rsidRPr="002D1BE8" w14:paraId="27CCC2E7"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74FF9CBC" w14:textId="569E7D28"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7</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BE12F6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8E3B07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1F4EA3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BC93F7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9517D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CBF875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AB8DDD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1235FE4" w14:textId="6ADE14ED"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5227F20" w14:textId="5F0C3CBC"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r>
      <w:tr w:rsidR="00633122" w:rsidRPr="002D1BE8" w14:paraId="68102397"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344CD009" w14:textId="19343C0E"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8</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BEBC0D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E52F69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FCBC97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20</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7FBB6C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EA11D5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5EF229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20DE29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9BB0430" w14:textId="705D6A5F"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69C81E7" w14:textId="5002B08B"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633122" w:rsidRPr="002D1BE8" w14:paraId="03BD1AC4"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66B9F056" w14:textId="03F0945F"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9</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A1BC3A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62CF81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635725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B6FC54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69F0EB1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A76F20C" w14:textId="126D65E4"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0308E6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1D3C94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4DE7E8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633122" w:rsidRPr="002D1BE8" w14:paraId="1D9D08D3"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19361615" w14:textId="3F78A53A"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10</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F7B6B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24</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F2837A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4EB167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C8F00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24</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CAD038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46C1FDD" w14:textId="3666479D"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¼</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30F3D6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AB2486A"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49101B8"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r>
    </w:tbl>
    <w:p w14:paraId="2FFAFE2C" w14:textId="77777777" w:rsidR="00124BD0" w:rsidRPr="002564F2" w:rsidRDefault="00124BD0" w:rsidP="00321F1A">
      <w:pPr>
        <w:jc w:val="both"/>
      </w:pPr>
    </w:p>
    <w:p w14:paraId="29314C7B" w14:textId="0CEAE664" w:rsidR="00325A89" w:rsidRDefault="001E037B">
      <w:pPr>
        <w:pStyle w:val="Heading2"/>
      </w:pPr>
      <w:r>
        <w:t>Tone Reservation</w:t>
      </w:r>
      <w:r w:rsidR="001705CA">
        <w:t xml:space="preserve"> </w:t>
      </w:r>
    </w:p>
    <w:p w14:paraId="61315E77" w14:textId="02E5B402" w:rsidR="00942BB2" w:rsidRDefault="00942BB2" w:rsidP="00942BB2">
      <w:pPr>
        <w:rPr>
          <w:lang w:val="en-GB"/>
        </w:rPr>
      </w:pPr>
      <w:r>
        <w:rPr>
          <w:lang w:val="en-GB"/>
        </w:rPr>
        <w:t>In the following section</w:t>
      </w:r>
      <w:r w:rsidR="0090039D">
        <w:rPr>
          <w:lang w:val="en-GB"/>
        </w:rPr>
        <w:t>s</w:t>
      </w:r>
      <w:r>
        <w:rPr>
          <w:lang w:val="en-GB"/>
        </w:rPr>
        <w:t xml:space="preserve"> we </w:t>
      </w:r>
      <w:r w:rsidR="0090039D">
        <w:rPr>
          <w:lang w:val="en-GB"/>
        </w:rPr>
        <w:t xml:space="preserve">discuss </w:t>
      </w:r>
      <w:r w:rsidR="009252C3">
        <w:rPr>
          <w:lang w:val="en-GB"/>
        </w:rPr>
        <w:t xml:space="preserve">the </w:t>
      </w:r>
      <w:r w:rsidR="0090039D">
        <w:rPr>
          <w:lang w:val="en-GB"/>
        </w:rPr>
        <w:t xml:space="preserve">basics of tone reservation and then present </w:t>
      </w:r>
      <w:r w:rsidR="00D53164">
        <w:rPr>
          <w:lang w:val="en-GB"/>
        </w:rPr>
        <w:t xml:space="preserve">results on </w:t>
      </w:r>
      <w:r w:rsidR="00AB6520">
        <w:rPr>
          <w:lang w:val="en-GB"/>
        </w:rPr>
        <w:t xml:space="preserve">net coverage gains using </w:t>
      </w:r>
      <w:r w:rsidR="00D53164">
        <w:rPr>
          <w:lang w:val="en-GB"/>
        </w:rPr>
        <w:t>tone reservation</w:t>
      </w:r>
      <w:r w:rsidR="009252C3">
        <w:rPr>
          <w:lang w:val="en-GB"/>
        </w:rPr>
        <w:t>.</w:t>
      </w:r>
    </w:p>
    <w:p w14:paraId="05493938" w14:textId="6E64F42C" w:rsidR="00D53164" w:rsidRPr="00A86DDA" w:rsidRDefault="00D53164" w:rsidP="00321F1A">
      <w:pPr>
        <w:pStyle w:val="Heading3"/>
      </w:pPr>
      <w:r>
        <w:t>Basic principles of tone reservation</w:t>
      </w:r>
    </w:p>
    <w:p w14:paraId="03E43963" w14:textId="15ED8ECE" w:rsidR="00AB2D01" w:rsidRDefault="00F13821" w:rsidP="00F13821">
      <w:pPr>
        <w:jc w:val="both"/>
      </w:pPr>
      <w:r>
        <w:t>Reducing the PAPR (Peak to Average Power Ratio) of the waveform is a common method for achieving higher transmission powers</w:t>
      </w:r>
      <w:r w:rsidR="007C41FC">
        <w:t xml:space="preserve"> leading to lower MPRs</w:t>
      </w:r>
      <w:r>
        <w:t xml:space="preserve">. The input </w:t>
      </w:r>
      <w:r w:rsidR="00177A13">
        <w:t>back-</w:t>
      </w:r>
      <w:r w:rsidR="007C41FC">
        <w:t>off</w:t>
      </w:r>
      <w:r>
        <w:t xml:space="preserve"> required for meeting the RAN4 restrictions is generally smaller for the reduced-PAPR waveform. This translates to a higher transmission power as well as higher PA efficiency. </w:t>
      </w:r>
    </w:p>
    <w:p w14:paraId="519B2E40" w14:textId="7AC0FA5C" w:rsidR="009D27F4" w:rsidRDefault="001011A2" w:rsidP="00F13821">
      <w:pPr>
        <w:jc w:val="both"/>
      </w:pPr>
      <w:r>
        <w:lastRenderedPageBreak/>
        <w:t>As shown in the figure below, c</w:t>
      </w:r>
      <w:r w:rsidR="00CD7450">
        <w:t xml:space="preserve">lassical clip-and-filter techniques </w:t>
      </w:r>
      <w:r>
        <w:t xml:space="preserve">take the ideal baseband waveform as input and </w:t>
      </w:r>
      <w:r w:rsidR="001201CB">
        <w:t xml:space="preserve">gently </w:t>
      </w:r>
      <w:r w:rsidR="00E046E0">
        <w:t>modify the waveform so that it</w:t>
      </w:r>
      <w:r w:rsidR="001201CB">
        <w:t xml:space="preserve"> is better suited </w:t>
      </w:r>
      <w:r w:rsidR="00177A13">
        <w:t>as</w:t>
      </w:r>
      <w:r w:rsidR="001201CB">
        <w:t xml:space="preserve"> input to the PA.</w:t>
      </w:r>
      <w:r w:rsidR="00883583">
        <w:t xml:space="preserve"> </w:t>
      </w:r>
    </w:p>
    <w:p w14:paraId="1B7DFA06" w14:textId="77777777" w:rsidR="006E77BA" w:rsidRDefault="009D27F4" w:rsidP="00321F1A">
      <w:pPr>
        <w:keepNext/>
        <w:jc w:val="center"/>
      </w:pPr>
      <w:r>
        <w:rPr>
          <w:noProof/>
        </w:rPr>
        <w:drawing>
          <wp:inline distT="0" distB="0" distL="0" distR="0" wp14:anchorId="20CF321C" wp14:editId="47C226A7">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04D1124C" w14:textId="18F21116" w:rsidR="009D27F4" w:rsidRDefault="006E77BA" w:rsidP="00321F1A">
      <w:pPr>
        <w:pStyle w:val="Caption"/>
        <w:jc w:val="center"/>
      </w:pPr>
      <w:r>
        <w:t xml:space="preserve">Figure </w:t>
      </w:r>
      <w:r>
        <w:fldChar w:fldCharType="begin"/>
      </w:r>
      <w:r>
        <w:instrText xml:space="preserve"> SEQ Figure \* ARABIC </w:instrText>
      </w:r>
      <w:r>
        <w:fldChar w:fldCharType="separate"/>
      </w:r>
      <w:r w:rsidR="00EA7EC4">
        <w:rPr>
          <w:noProof/>
        </w:rPr>
        <w:t>5</w:t>
      </w:r>
      <w:r>
        <w:fldChar w:fldCharType="end"/>
      </w:r>
      <w:r>
        <w:t xml:space="preserve"> Keys steps in waveform generation and transmission</w:t>
      </w:r>
    </w:p>
    <w:p w14:paraId="1227FD70" w14:textId="5AED1841" w:rsidR="00A32A57" w:rsidRDefault="00883583" w:rsidP="00F13821">
      <w:pPr>
        <w:jc w:val="both"/>
      </w:pPr>
      <w:r>
        <w:t xml:space="preserve">The classical techniques are transparent in </w:t>
      </w:r>
      <w:r w:rsidR="00CE53EC">
        <w:t>nature,</w:t>
      </w:r>
      <w:r>
        <w:t xml:space="preserve"> and they tend to take advantage of the</w:t>
      </w:r>
      <w:r w:rsidR="00E31EAF">
        <w:t xml:space="preserve"> relaxed EVM requirements for lower modulation order waveforms to </w:t>
      </w:r>
      <w:r w:rsidR="003E12D1">
        <w:t xml:space="preserve">reduce a waveform’s PAPR and other characteristics such as ACLR, IBE and SEM. </w:t>
      </w:r>
      <w:r w:rsidR="009F617B">
        <w:t>One common issue with these approaches is that is rather difficult to contro</w:t>
      </w:r>
      <w:r w:rsidR="004A2C8C">
        <w:t>l</w:t>
      </w:r>
      <w:r w:rsidR="009F617B">
        <w:t xml:space="preserve"> the </w:t>
      </w:r>
      <w:r w:rsidR="005729D1">
        <w:t>amount of clipping noise that gets generated as part of this process.</w:t>
      </w:r>
      <w:r w:rsidR="004A2C8C" w:rsidRPr="004A2C8C">
        <w:rPr>
          <w:noProof/>
        </w:rPr>
        <w:t xml:space="preserve"> </w:t>
      </w:r>
    </w:p>
    <w:p w14:paraId="4678C397" w14:textId="77777777" w:rsidR="00A32A57" w:rsidRDefault="004A2C8C" w:rsidP="00321F1A">
      <w:pPr>
        <w:keepNext/>
        <w:jc w:val="center"/>
      </w:pPr>
      <w:r>
        <w:rPr>
          <w:noProof/>
        </w:rPr>
        <w:drawing>
          <wp:inline distT="0" distB="0" distL="0" distR="0" wp14:anchorId="079D4924" wp14:editId="405EFC2F">
            <wp:extent cx="5099538" cy="934915"/>
            <wp:effectExtent l="0" t="0" r="6350" b="0"/>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15"/>
                    <a:stretch>
                      <a:fillRect/>
                    </a:stretch>
                  </pic:blipFill>
                  <pic:spPr>
                    <a:xfrm>
                      <a:off x="0" y="0"/>
                      <a:ext cx="5118191" cy="938335"/>
                    </a:xfrm>
                    <a:prstGeom prst="rect">
                      <a:avLst/>
                    </a:prstGeom>
                  </pic:spPr>
                </pic:pic>
              </a:graphicData>
            </a:graphic>
          </wp:inline>
        </w:drawing>
      </w:r>
    </w:p>
    <w:p w14:paraId="3E146DC4" w14:textId="7E83C27A" w:rsidR="00AB2D01" w:rsidRDefault="00A32A57" w:rsidP="00321F1A">
      <w:pPr>
        <w:pStyle w:val="Caption"/>
        <w:jc w:val="center"/>
      </w:pPr>
      <w:r>
        <w:t xml:space="preserve">Figure </w:t>
      </w:r>
      <w:r>
        <w:fldChar w:fldCharType="begin"/>
      </w:r>
      <w:r>
        <w:instrText xml:space="preserve"> SEQ Figure \* ARABIC </w:instrText>
      </w:r>
      <w:r>
        <w:fldChar w:fldCharType="separate"/>
      </w:r>
      <w:r w:rsidR="00EA7EC4">
        <w:rPr>
          <w:noProof/>
        </w:rPr>
        <w:t>6</w:t>
      </w:r>
      <w:r>
        <w:fldChar w:fldCharType="end"/>
      </w:r>
      <w:r>
        <w:t xml:space="preserve"> </w:t>
      </w:r>
      <w:r w:rsidRPr="00D73F29">
        <w:t>Clipping noise generated by classical clip and filter approaches</w:t>
      </w:r>
    </w:p>
    <w:p w14:paraId="4F099E0B" w14:textId="0AA7C7E8" w:rsidR="00F13821" w:rsidRDefault="004B6B05" w:rsidP="00F13821">
      <w:pPr>
        <w:jc w:val="both"/>
      </w:pPr>
      <w:r>
        <w:t>As an alternative to classical clip</w:t>
      </w:r>
      <w:r w:rsidR="006368B2">
        <w:t xml:space="preserve"> </w:t>
      </w:r>
      <w:r>
        <w:t>&amp;</w:t>
      </w:r>
      <w:r w:rsidR="006368B2">
        <w:t xml:space="preserve"> </w:t>
      </w:r>
      <w:r>
        <w:t xml:space="preserve">filter techniques, it </w:t>
      </w:r>
      <w:r w:rsidR="00CD7354">
        <w:t>is desirable to have better control over the clipping or shaping noise and redirect it to a certain designated portion of the band.</w:t>
      </w:r>
      <w:r w:rsidR="00FE2DB7">
        <w:t xml:space="preserve"> This motivates us to consider schemes such as tone reservation</w:t>
      </w:r>
      <w:r w:rsidR="00582E97">
        <w:t>. A</w:t>
      </w:r>
      <w:r w:rsidR="00F13821">
        <w:t xml:space="preserve">mong the </w:t>
      </w:r>
      <w:r w:rsidR="00C00974">
        <w:t xml:space="preserve">many </w:t>
      </w:r>
      <w:r w:rsidR="00AB2D01">
        <w:t>well-known</w:t>
      </w:r>
      <w:r w:rsidR="00F13821">
        <w:t xml:space="preserve"> PAPR reduction techniques, “tone reservation” stands out due to its simplicity and efficient usage of the available resources. This technique dedicates a subset of available sub-carriers to </w:t>
      </w:r>
      <w:r w:rsidR="00582E97">
        <w:t xml:space="preserve">absorb the clipping or shaping noise generated when </w:t>
      </w:r>
      <w:r w:rsidR="00F13821">
        <w:t xml:space="preserve">reducing the PAPR of the waveform. These subcarriers are referred to as Peak Reduction Tones (PRTs). To preserve the EVM, there is no overlap between the </w:t>
      </w:r>
      <w:r w:rsidR="00F530D6">
        <w:t xml:space="preserve">PRTs and the </w:t>
      </w:r>
      <w:r w:rsidR="00F13821">
        <w:t>subcarriers used for transmitting the data.</w:t>
      </w:r>
    </w:p>
    <w:p w14:paraId="6E0AFE36" w14:textId="1AA28FB7"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w:t>
      </w:r>
      <w:r w:rsidR="009725E2">
        <w:t xml:space="preserve">, as illustrated in </w:t>
      </w:r>
      <w:r w:rsidR="009725E2">
        <w:fldChar w:fldCharType="begin"/>
      </w:r>
      <w:r w:rsidR="009725E2">
        <w:instrText xml:space="preserve"> REF _Ref131750904 \h </w:instrText>
      </w:r>
      <w:r w:rsidR="009725E2">
        <w:fldChar w:fldCharType="separate"/>
      </w:r>
      <w:r w:rsidR="00EA7EC4" w:rsidRPr="00321F1A">
        <w:t xml:space="preserve">Figure </w:t>
      </w:r>
      <w:r w:rsidR="00EA7EC4">
        <w:rPr>
          <w:noProof/>
        </w:rPr>
        <w:t>7</w:t>
      </w:r>
      <w:r w:rsidR="009725E2">
        <w:fldChar w:fldCharType="end"/>
      </w:r>
      <w:r w:rsidR="008A607C">
        <w:t xml:space="preserve">. The compensating waveform only uses the </w:t>
      </w:r>
      <w:r w:rsidR="007C41FC">
        <w:t>PRT</w:t>
      </w:r>
      <w:r w:rsidR="008A607C">
        <w:t xml:space="preserve">s and thus leaves the data tones unaltered. Several efficient algorithms exist for this purpose. For example, </w:t>
      </w:r>
      <w:r w:rsidR="00955064">
        <w:t>one well known algorithm is by J. Tellado [4]</w:t>
      </w:r>
      <w:r w:rsidR="00BF663E">
        <w:t xml:space="preserve"> </w:t>
      </w:r>
      <w:r w:rsidR="008A607C">
        <w:t>that iteratively cancels the peaks in the original waveform.</w:t>
      </w:r>
    </w:p>
    <w:p w14:paraId="0B9640E6" w14:textId="77777777" w:rsidR="00077BD4" w:rsidRDefault="008762F5" w:rsidP="00321F1A">
      <w:pPr>
        <w:keepNext/>
        <w:jc w:val="center"/>
      </w:pPr>
      <w:r>
        <w:rPr>
          <w:noProof/>
        </w:rPr>
        <w:drawing>
          <wp:inline distT="0" distB="0" distL="0" distR="0" wp14:anchorId="2BB0316E" wp14:editId="3968BBAB">
            <wp:extent cx="2757648" cy="2324100"/>
            <wp:effectExtent l="0" t="0" r="508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16"/>
                    <a:stretch>
                      <a:fillRect/>
                    </a:stretch>
                  </pic:blipFill>
                  <pic:spPr>
                    <a:xfrm>
                      <a:off x="0" y="0"/>
                      <a:ext cx="2797854" cy="2357985"/>
                    </a:xfrm>
                    <a:prstGeom prst="rect">
                      <a:avLst/>
                    </a:prstGeom>
                  </pic:spPr>
                </pic:pic>
              </a:graphicData>
            </a:graphic>
          </wp:inline>
        </w:drawing>
      </w:r>
    </w:p>
    <w:p w14:paraId="67DFCD09" w14:textId="48139718" w:rsidR="00CD4158" w:rsidRPr="00321F1A" w:rsidRDefault="00077BD4" w:rsidP="00321F1A">
      <w:pPr>
        <w:pStyle w:val="Caption"/>
        <w:jc w:val="center"/>
        <w:rPr>
          <w:sz w:val="20"/>
          <w:szCs w:val="20"/>
        </w:rPr>
      </w:pPr>
      <w:bookmarkStart w:id="4" w:name="_Ref131750904"/>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EA7EC4">
        <w:rPr>
          <w:noProof/>
          <w:sz w:val="20"/>
          <w:szCs w:val="20"/>
        </w:rPr>
        <w:t>7</w:t>
      </w:r>
      <w:r w:rsidRPr="00321F1A">
        <w:rPr>
          <w:sz w:val="20"/>
          <w:szCs w:val="20"/>
        </w:rPr>
        <w:fldChar w:fldCharType="end"/>
      </w:r>
      <w:bookmarkEnd w:id="4"/>
      <w:r w:rsidRPr="00321F1A">
        <w:rPr>
          <w:sz w:val="20"/>
          <w:szCs w:val="20"/>
        </w:rPr>
        <w:t xml:space="preserve"> Peak cancelling waveform constructed using reserved tones. An all-ones kernel is used to generate the waveform.</w:t>
      </w:r>
    </w:p>
    <w:p w14:paraId="0B623918" w14:textId="06665F9F" w:rsidR="003D5BCF" w:rsidRDefault="00FD19FD" w:rsidP="00321F1A">
      <w:pPr>
        <w:spacing w:after="0"/>
        <w:jc w:val="both"/>
      </w:pPr>
      <w:r>
        <w:t>T</w:t>
      </w:r>
      <w:r w:rsidR="008A607C">
        <w:t>here are many options for the location of PRTs in reference to the data tones</w:t>
      </w:r>
      <w:r>
        <w:t xml:space="preserve">. </w:t>
      </w:r>
      <w:r w:rsidR="0045230B">
        <w:t>F</w:t>
      </w:r>
      <w:r w:rsidR="00CA3AC3">
        <w:t xml:space="preserve">or single carrier waveforms such as DFT-S-OFDM, </w:t>
      </w:r>
      <w:r w:rsidR="00C94995">
        <w:t xml:space="preserve">tones may be </w:t>
      </w:r>
      <w:r w:rsidR="007A7893">
        <w:t>reserved</w:t>
      </w:r>
      <w:r w:rsidR="008A607C">
        <w:t xml:space="preserve"> immediately adjacent to the RBs allocated to a UE</w:t>
      </w:r>
      <w:r w:rsidR="0045230B">
        <w:t xml:space="preserve"> and this is referred to</w:t>
      </w:r>
      <w:r w:rsidR="0094025C">
        <w:t xml:space="preserve"> as</w:t>
      </w:r>
      <w:r w:rsidR="00617CE8">
        <w:t xml:space="preserve"> sideband reservation. </w:t>
      </w:r>
    </w:p>
    <w:p w14:paraId="206F15B4" w14:textId="77777777" w:rsidR="00451AFD" w:rsidRDefault="00451AFD" w:rsidP="00321F1A">
      <w:pPr>
        <w:spacing w:after="0"/>
        <w:jc w:val="both"/>
      </w:pPr>
    </w:p>
    <w:p w14:paraId="1FF67EF7" w14:textId="130B232B" w:rsidR="005A01CB" w:rsidRDefault="003D5BCF" w:rsidP="00321F1A">
      <w:pPr>
        <w:spacing w:after="0"/>
        <w:jc w:val="both"/>
      </w:pPr>
      <w:r>
        <w:t>Sideba</w:t>
      </w:r>
      <w:r w:rsidR="00291713">
        <w:t>nd tone reservation</w:t>
      </w:r>
      <w:r w:rsidR="0022474F">
        <w:t xml:space="preserve"> is illustrated in </w:t>
      </w:r>
      <w:r w:rsidR="00291713">
        <w:fldChar w:fldCharType="begin"/>
      </w:r>
      <w:r w:rsidR="00291713">
        <w:instrText xml:space="preserve"> REF _Ref53743864 \h </w:instrText>
      </w:r>
      <w:r w:rsidR="00291713">
        <w:fldChar w:fldCharType="separate"/>
      </w:r>
      <w:r w:rsidR="00EA7EC4" w:rsidRPr="00321F1A">
        <w:t xml:space="preserve">Figure </w:t>
      </w:r>
      <w:r w:rsidR="00EA7EC4">
        <w:rPr>
          <w:noProof/>
        </w:rPr>
        <w:t>8</w:t>
      </w:r>
      <w:r w:rsidR="00291713">
        <w:fldChar w:fldCharType="end"/>
      </w:r>
      <w:r w:rsidR="00291713">
        <w:t xml:space="preserve">, </w:t>
      </w:r>
      <w:r w:rsidR="0022474F">
        <w:t>where two U</w:t>
      </w:r>
      <w:r w:rsidR="00B32910">
        <w:t>E</w:t>
      </w:r>
      <w:r w:rsidR="0022474F">
        <w:t xml:space="preserve">s are allocated dedicated data tones for their uplink transmission and in addition have some tones on either side of their allocation reserved as PRTs. Note that when using </w:t>
      </w:r>
      <w:r w:rsidR="0022474F">
        <w:lastRenderedPageBreak/>
        <w:t xml:space="preserve">algorithms such as </w:t>
      </w:r>
      <w:r w:rsidR="007C41FC">
        <w:t>those in [</w:t>
      </w:r>
      <w:r w:rsidR="009E289D">
        <w:t>3</w:t>
      </w:r>
      <w:r w:rsidR="007C41FC">
        <w:t>]</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drawing>
          <wp:inline distT="0" distB="0" distL="0" distR="0" wp14:anchorId="173DF29C" wp14:editId="0D6CBA1E">
            <wp:extent cx="3225910" cy="10338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89933" cy="1054396"/>
                    </a:xfrm>
                    <a:prstGeom prst="rect">
                      <a:avLst/>
                    </a:prstGeom>
                    <a:noFill/>
                  </pic:spPr>
                </pic:pic>
              </a:graphicData>
            </a:graphic>
          </wp:inline>
        </w:drawing>
      </w:r>
    </w:p>
    <w:p w14:paraId="0D255959" w14:textId="59AB6558" w:rsidR="006F1DAC" w:rsidRPr="00321F1A" w:rsidRDefault="007C41FC" w:rsidP="005E055E">
      <w:pPr>
        <w:pStyle w:val="Caption"/>
        <w:jc w:val="center"/>
        <w:rPr>
          <w:sz w:val="20"/>
          <w:szCs w:val="20"/>
        </w:rPr>
      </w:pPr>
      <w:bookmarkStart w:id="5" w:name="_Ref53743864"/>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EA7EC4">
        <w:rPr>
          <w:noProof/>
          <w:sz w:val="20"/>
          <w:szCs w:val="20"/>
        </w:rPr>
        <w:t>8</w:t>
      </w:r>
      <w:r w:rsidRPr="00321F1A">
        <w:rPr>
          <w:sz w:val="20"/>
          <w:szCs w:val="20"/>
        </w:rPr>
        <w:fldChar w:fldCharType="end"/>
      </w:r>
      <w:bookmarkEnd w:id="5"/>
      <w:r w:rsidRPr="00321F1A">
        <w:rPr>
          <w:sz w:val="20"/>
          <w:szCs w:val="20"/>
        </w:rPr>
        <w:t xml:space="preserve"> </w:t>
      </w:r>
      <w:r w:rsidR="00291713" w:rsidRPr="00321F1A">
        <w:rPr>
          <w:sz w:val="20"/>
          <w:szCs w:val="20"/>
        </w:rPr>
        <w:t>Sideband t</w:t>
      </w:r>
      <w:r w:rsidRPr="00321F1A">
        <w:rPr>
          <w:sz w:val="20"/>
          <w:szCs w:val="20"/>
        </w:rPr>
        <w:t>one reservation</w:t>
      </w:r>
      <w:r w:rsidR="00291713" w:rsidRPr="00321F1A">
        <w:rPr>
          <w:sz w:val="20"/>
          <w:szCs w:val="20"/>
        </w:rPr>
        <w:t xml:space="preserve"> with tones</w:t>
      </w:r>
      <w:r w:rsidR="0009120F" w:rsidRPr="00321F1A">
        <w:rPr>
          <w:sz w:val="20"/>
          <w:szCs w:val="20"/>
        </w:rPr>
        <w:t xml:space="preserve"> shared</w:t>
      </w:r>
      <w:r w:rsidR="00291713" w:rsidRPr="00321F1A">
        <w:rPr>
          <w:sz w:val="20"/>
          <w:szCs w:val="20"/>
        </w:rPr>
        <w:t xml:space="preserve"> between two U</w:t>
      </w:r>
      <w:r w:rsidR="004327E4" w:rsidRPr="00321F1A">
        <w:rPr>
          <w:sz w:val="20"/>
          <w:szCs w:val="20"/>
        </w:rPr>
        <w:t>e</w:t>
      </w:r>
      <w:r w:rsidR="00291713" w:rsidRPr="00321F1A">
        <w:rPr>
          <w:sz w:val="20"/>
          <w:szCs w:val="20"/>
        </w:rPr>
        <w:t>s</w:t>
      </w:r>
    </w:p>
    <w:p w14:paraId="4FF9CC0F" w14:textId="77777777" w:rsidR="006F1DAC" w:rsidRDefault="006F1DAC" w:rsidP="00F13821">
      <w:pPr>
        <w:jc w:val="both"/>
      </w:pPr>
    </w:p>
    <w:p w14:paraId="5F8E9F2C" w14:textId="4F8F8BA0"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r w:rsidR="00B32910">
        <w:t xml:space="preserve">transmit </w:t>
      </w:r>
      <w:r w:rsidR="006F1DAC">
        <w:t>power has very minimal impact on gNB receiver design.</w:t>
      </w:r>
    </w:p>
    <w:tbl>
      <w:tblPr>
        <w:tblStyle w:val="TableGrid"/>
        <w:tblW w:w="0" w:type="auto"/>
        <w:tblLook w:val="04A0" w:firstRow="1" w:lastRow="0" w:firstColumn="1" w:lastColumn="0" w:noHBand="0" w:noVBand="1"/>
      </w:tblPr>
      <w:tblGrid>
        <w:gridCol w:w="9350"/>
      </w:tblGrid>
      <w:tr w:rsidR="00206CF9" w14:paraId="79922351" w14:textId="77777777" w:rsidTr="00206CF9">
        <w:tc>
          <w:tcPr>
            <w:tcW w:w="9350" w:type="dxa"/>
          </w:tcPr>
          <w:p w14:paraId="1B1B18C6" w14:textId="3B12E438" w:rsidR="00206CF9" w:rsidRDefault="00206CF9" w:rsidP="00321F1A">
            <w:pPr>
              <w:spacing w:after="0"/>
              <w:jc w:val="both"/>
            </w:pPr>
            <w:r w:rsidRPr="00667CC6">
              <w:rPr>
                <w:b/>
                <w:bCs/>
              </w:rPr>
              <w:t>Observation</w:t>
            </w:r>
            <w:r w:rsidR="00E44526">
              <w:rPr>
                <w:b/>
                <w:bCs/>
              </w:rPr>
              <w:t xml:space="preserve"> 3</w:t>
            </w:r>
            <w:r>
              <w:t>: With sideband tone reservation, gNB does not have to change its receiver design.</w:t>
            </w:r>
            <w:r w:rsidR="003D5BCF">
              <w:t xml:space="preserve"> Further, link-level performance of the waveform remains unchanged.</w:t>
            </w:r>
          </w:p>
        </w:tc>
      </w:tr>
    </w:tbl>
    <w:p w14:paraId="7112F8B0" w14:textId="77777777" w:rsidR="00A84212" w:rsidRDefault="00A84212" w:rsidP="00F13821">
      <w:pPr>
        <w:jc w:val="both"/>
      </w:pPr>
    </w:p>
    <w:p w14:paraId="12F4BD44" w14:textId="6A24867D" w:rsidR="000B4F8A" w:rsidRDefault="00FC0C95" w:rsidP="00321F1A">
      <w:pPr>
        <w:pStyle w:val="Heading3"/>
      </w:pPr>
      <w:r>
        <w:t>PAPR Reduction Using Tone Reservation</w:t>
      </w:r>
    </w:p>
    <w:p w14:paraId="27E2C41E" w14:textId="209784A8" w:rsidR="006F1DAC" w:rsidRDefault="006F1DAC" w:rsidP="00F13821">
      <w:pPr>
        <w:jc w:val="both"/>
      </w:pPr>
      <w:r>
        <w:t xml:space="preserve">To illustrate the effectiveness of these principles, we consider a UE that is allocated </w:t>
      </w:r>
      <w:r w:rsidR="00430493">
        <w:t>8</w:t>
      </w:r>
      <w:r>
        <w:t xml:space="preserve"> RBs for PUSCH transmission. In addition to these RBs, the UE is also provided with 1 RB of PRTs on either side of its allocation, as shown in</w:t>
      </w:r>
      <w:r w:rsidR="00732D7F">
        <w:t xml:space="preserve"> </w:t>
      </w:r>
      <w:r w:rsidR="00732D7F">
        <w:fldChar w:fldCharType="begin"/>
      </w:r>
      <w:r w:rsidR="00732D7F">
        <w:instrText xml:space="preserve"> REF _Ref131750977 \h </w:instrText>
      </w:r>
      <w:r w:rsidR="00732D7F">
        <w:fldChar w:fldCharType="separate"/>
      </w:r>
      <w:r w:rsidR="00EA7EC4" w:rsidRPr="00321F1A">
        <w:t xml:space="preserve">Figure </w:t>
      </w:r>
      <w:r w:rsidR="00EA7EC4">
        <w:rPr>
          <w:noProof/>
        </w:rPr>
        <w:t>9</w:t>
      </w:r>
      <w:r w:rsidR="00732D7F">
        <w:fldChar w:fldCharType="end"/>
      </w:r>
      <w:r>
        <w:t xml:space="preserve">. </w:t>
      </w:r>
    </w:p>
    <w:p w14:paraId="7021A254" w14:textId="77777777" w:rsidR="00806294" w:rsidRDefault="005657A3" w:rsidP="00806294">
      <w:pPr>
        <w:keepNext/>
        <w:jc w:val="center"/>
      </w:pPr>
      <w:r>
        <w:rPr>
          <w:noProof/>
        </w:rPr>
        <w:drawing>
          <wp:inline distT="0" distB="0" distL="0" distR="0" wp14:anchorId="368A5C0B" wp14:editId="1358D62A">
            <wp:extent cx="2272599" cy="70866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1137" cy="711322"/>
                    </a:xfrm>
                    <a:prstGeom prst="rect">
                      <a:avLst/>
                    </a:prstGeom>
                    <a:noFill/>
                  </pic:spPr>
                </pic:pic>
              </a:graphicData>
            </a:graphic>
          </wp:inline>
        </w:drawing>
      </w:r>
    </w:p>
    <w:p w14:paraId="555D61E2" w14:textId="24262E67" w:rsidR="00806294" w:rsidRPr="00321F1A" w:rsidRDefault="00806294" w:rsidP="00321F1A">
      <w:pPr>
        <w:pStyle w:val="Caption"/>
        <w:jc w:val="center"/>
        <w:rPr>
          <w:color w:val="auto"/>
          <w:sz w:val="20"/>
          <w:szCs w:val="20"/>
        </w:rPr>
      </w:pPr>
      <w:bookmarkStart w:id="6" w:name="_Ref131750977"/>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9</w:t>
      </w:r>
      <w:r w:rsidRPr="00321F1A">
        <w:rPr>
          <w:color w:val="auto"/>
          <w:sz w:val="20"/>
          <w:szCs w:val="20"/>
        </w:rPr>
        <w:fldChar w:fldCharType="end"/>
      </w:r>
      <w:bookmarkEnd w:id="6"/>
      <w:r w:rsidRPr="00321F1A">
        <w:rPr>
          <w:color w:val="auto"/>
          <w:sz w:val="20"/>
          <w:szCs w:val="20"/>
        </w:rPr>
        <w:t xml:space="preserve"> Tone reservation with 1 RB PRT on either side of allocation</w:t>
      </w:r>
    </w:p>
    <w:p w14:paraId="41D8EFE6" w14:textId="508001F6" w:rsidR="007C41FC" w:rsidRDefault="007C41FC" w:rsidP="005E055E">
      <w:pPr>
        <w:keepNext/>
        <w:jc w:val="center"/>
      </w:pPr>
    </w:p>
    <w:p w14:paraId="21F6A379" w14:textId="61CB09FA" w:rsidR="00F13821" w:rsidRDefault="007C41FC" w:rsidP="00F13821">
      <w:pPr>
        <w:jc w:val="both"/>
      </w:pPr>
      <w:r>
        <w:t xml:space="preserve">Focusing on such an allocation we consider a DFT-S-OFDM with QPSK modulation and highlight the improvements in </w:t>
      </w:r>
      <w:r w:rsidR="00F13821">
        <w:t>PAPR due to tone reservation</w:t>
      </w:r>
      <w:r w:rsidR="00E4496F">
        <w:t xml:space="preserve"> </w:t>
      </w:r>
      <w:r w:rsidR="007D583E">
        <w:t>in</w:t>
      </w:r>
      <w:r w:rsidR="0096639C">
        <w:t xml:space="preserve"> </w:t>
      </w:r>
      <w:r w:rsidR="00F45019">
        <w:fldChar w:fldCharType="begin"/>
      </w:r>
      <w:r w:rsidR="00F45019">
        <w:instrText xml:space="preserve"> REF _Ref118582248 \h </w:instrText>
      </w:r>
      <w:r w:rsidR="00F45019">
        <w:fldChar w:fldCharType="separate"/>
      </w:r>
      <w:r w:rsidR="00EA7EC4">
        <w:t xml:space="preserve">Figure </w:t>
      </w:r>
      <w:r w:rsidR="00EA7EC4">
        <w:rPr>
          <w:noProof/>
        </w:rPr>
        <w:t>10</w:t>
      </w:r>
      <w:r w:rsidR="00F45019">
        <w:fldChar w:fldCharType="end"/>
      </w:r>
      <w:r w:rsidR="0096639C">
        <w:fldChar w:fldCharType="begin"/>
      </w:r>
      <w:r w:rsidR="0096639C">
        <w:instrText xml:space="preserve"> REF _Ref115259737 \h </w:instrText>
      </w:r>
      <w:r w:rsidR="00FD42FA">
        <w:fldChar w:fldCharType="separate"/>
      </w:r>
      <w:r w:rsidR="0096639C">
        <w:fldChar w:fldCharType="end"/>
      </w:r>
      <w:r w:rsidR="00A10A76">
        <w:t>.</w:t>
      </w:r>
      <w:r w:rsidR="00B60E9C" w:rsidRPr="00B60E9C">
        <w:t xml:space="preserve"> </w:t>
      </w:r>
      <w:r w:rsidR="00494F06">
        <w:t>The SCR-TR algorithm</w:t>
      </w:r>
      <w:r w:rsidR="000F1CA1">
        <w:t xml:space="preserve"> with 10 iterations</w:t>
      </w:r>
      <w:r w:rsidR="00494F06">
        <w:t xml:space="preserve"> is used for PAPR </w:t>
      </w:r>
      <w:r w:rsidR="000F1CA1">
        <w:t>reduction. As seen in the figure</w:t>
      </w:r>
      <w:r w:rsidR="00D84927">
        <w:t>s</w:t>
      </w:r>
      <w:r w:rsidR="000F1CA1">
        <w:t>, significant PAPR reduction can be achieved depending on the desired target PAPR.</w:t>
      </w:r>
      <w:r w:rsidR="007D583E">
        <w:t xml:space="preserve">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gains come at a negligible price in terms of energy.</w:t>
      </w:r>
    </w:p>
    <w:p w14:paraId="7AE0B0A9" w14:textId="6977EFD3" w:rsidR="00321A06" w:rsidRDefault="00321A06" w:rsidP="00321F1A">
      <w:pPr>
        <w:pStyle w:val="Caption"/>
        <w:keepNext/>
        <w:jc w:val="center"/>
        <w:rPr>
          <w:b/>
          <w:bCs/>
        </w:rPr>
      </w:pPr>
      <w:bookmarkStart w:id="7" w:name="_Ref48148797"/>
      <w:bookmarkStart w:id="8" w:name="_Ref48140724"/>
    </w:p>
    <w:p w14:paraId="3745CDE3" w14:textId="77777777" w:rsidR="0027009D" w:rsidRDefault="0027009D" w:rsidP="00321F1A">
      <w:pPr>
        <w:pStyle w:val="Caption"/>
        <w:keepNext/>
        <w:jc w:val="center"/>
      </w:pPr>
      <w:r>
        <w:rPr>
          <w:noProof/>
        </w:rPr>
        <w:drawing>
          <wp:inline distT="0" distB="0" distL="0" distR="0" wp14:anchorId="2453F1E2" wp14:editId="5EE8DDB4">
            <wp:extent cx="3238030" cy="2481106"/>
            <wp:effectExtent l="0" t="0" r="635" b="0"/>
            <wp:docPr id="61" name="Picture 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line chart&#10;&#10;Description automatically generated"/>
                    <pic:cNvPicPr/>
                  </pic:nvPicPr>
                  <pic:blipFill>
                    <a:blip r:embed="rId19"/>
                    <a:stretch>
                      <a:fillRect/>
                    </a:stretch>
                  </pic:blipFill>
                  <pic:spPr>
                    <a:xfrm>
                      <a:off x="0" y="0"/>
                      <a:ext cx="3274842" cy="2509313"/>
                    </a:xfrm>
                    <a:prstGeom prst="rect">
                      <a:avLst/>
                    </a:prstGeom>
                  </pic:spPr>
                </pic:pic>
              </a:graphicData>
            </a:graphic>
          </wp:inline>
        </w:drawing>
      </w:r>
    </w:p>
    <w:p w14:paraId="0BF85C67" w14:textId="7B08082E" w:rsidR="0027009D" w:rsidRDefault="0027009D" w:rsidP="00321F1A">
      <w:pPr>
        <w:pStyle w:val="Caption"/>
        <w:jc w:val="center"/>
      </w:pPr>
      <w:bookmarkStart w:id="9" w:name="_Ref118582248"/>
      <w:r>
        <w:t xml:space="preserve">Figure </w:t>
      </w:r>
      <w:r>
        <w:fldChar w:fldCharType="begin"/>
      </w:r>
      <w:r>
        <w:instrText xml:space="preserve"> SEQ Figure \* ARABIC </w:instrText>
      </w:r>
      <w:r>
        <w:fldChar w:fldCharType="separate"/>
      </w:r>
      <w:r w:rsidR="00EA7EC4">
        <w:rPr>
          <w:noProof/>
        </w:rPr>
        <w:t>10</w:t>
      </w:r>
      <w:r>
        <w:fldChar w:fldCharType="end"/>
      </w:r>
      <w:bookmarkEnd w:id="9"/>
      <w:r>
        <w:t xml:space="preserve"> </w:t>
      </w:r>
      <w:r w:rsidRPr="0065010F">
        <w:t>CCDF of PAPR of the DFT-s-OFDM QPSK waveform before and after PAPR reduction for a</w:t>
      </w:r>
      <w:r>
        <w:t>n</w:t>
      </w:r>
      <w:r w:rsidRPr="0065010F">
        <w:t xml:space="preserve"> </w:t>
      </w:r>
      <w:r>
        <w:t>8</w:t>
      </w:r>
      <w:r w:rsidRPr="0065010F">
        <w:t xml:space="preserve"> RB allocation with 2 RB tone reservation</w:t>
      </w:r>
    </w:p>
    <w:bookmarkEnd w:id="7"/>
    <w:bookmarkEnd w:id="8"/>
    <w:p w14:paraId="53F69951" w14:textId="77777777" w:rsidR="0026484B" w:rsidRPr="007E6DF0" w:rsidRDefault="0026484B" w:rsidP="00321F1A"/>
    <w:p w14:paraId="4F6551D3" w14:textId="2A893C32" w:rsidR="002E052A" w:rsidRDefault="0026484B" w:rsidP="0026484B">
      <w:pPr>
        <w:pStyle w:val="Heading3"/>
      </w:pPr>
      <w:r>
        <w:t>Potential Power Boost Using Tone Reservation</w:t>
      </w:r>
    </w:p>
    <w:p w14:paraId="01E35F94" w14:textId="7C225F30" w:rsidR="00D12A48" w:rsidRDefault="00E74798" w:rsidP="003B23FA">
      <w:pPr>
        <w:jc w:val="both"/>
      </w:pPr>
      <w:r>
        <w:rPr>
          <w:lang w:val="en-GB"/>
        </w:rPr>
        <w:t>Using such an approach, raw waveforms are shaped</w:t>
      </w:r>
      <w:r w:rsidR="00542FEE">
        <w:rPr>
          <w:lang w:val="en-GB"/>
        </w:rPr>
        <w:t xml:space="preserve"> using non-transparent tone reservation</w:t>
      </w:r>
      <w:r>
        <w:rPr>
          <w:lang w:val="en-GB"/>
        </w:rPr>
        <w:t xml:space="preserve"> to reduce their PAPR characteristics and then passed through an RF simulator to determine the resulting MPR. In the following figures, MPR and the potential power boost using </w:t>
      </w:r>
      <w:r w:rsidR="00542FEE">
        <w:rPr>
          <w:lang w:val="en-GB"/>
        </w:rPr>
        <w:t>non-transparent tone reservation</w:t>
      </w:r>
      <w:r>
        <w:rPr>
          <w:lang w:val="en-GB"/>
        </w:rPr>
        <w:t xml:space="preserve"> are plotted.</w:t>
      </w:r>
      <w:r w:rsidR="003B23FA">
        <w:rPr>
          <w:lang w:val="en-GB"/>
        </w:rPr>
        <w:t xml:space="preserve"> </w:t>
      </w:r>
      <w:r w:rsidR="003B23FA">
        <w:t>As seen in</w:t>
      </w:r>
      <w:r w:rsidR="009E3F98">
        <w:t xml:space="preserve"> </w:t>
      </w:r>
      <w:r w:rsidR="009E3F98">
        <w:fldChar w:fldCharType="begin"/>
      </w:r>
      <w:r w:rsidR="009E3F98">
        <w:instrText xml:space="preserve"> REF _Ref127529775 \h </w:instrText>
      </w:r>
      <w:r w:rsidR="009E3F98">
        <w:fldChar w:fldCharType="separate"/>
      </w:r>
      <w:r w:rsidR="00EA7EC4" w:rsidRPr="00321F1A">
        <w:t xml:space="preserve">Figure </w:t>
      </w:r>
      <w:r w:rsidR="00EA7EC4">
        <w:rPr>
          <w:noProof/>
        </w:rPr>
        <w:t>11</w:t>
      </w:r>
      <w:r w:rsidR="009E3F98">
        <w:fldChar w:fldCharType="end"/>
      </w:r>
      <w:r w:rsidR="003B23FA">
        <w:t xml:space="preserve">, for inner RB allocations, </w:t>
      </w:r>
      <w:r w:rsidR="00D12A48">
        <w:t xml:space="preserve">a potential boost of 1-1.5 dB is possible. </w:t>
      </w:r>
      <w:r w:rsidR="0081291A">
        <w:t>Outer RB allocations see a reduced gain of about 0.2-0.6 dB. Some outer RB allocations</w:t>
      </w:r>
      <w:r w:rsidR="003E1E81">
        <w:t xml:space="preserve"> with large </w:t>
      </w:r>
      <w:r w:rsidR="00F5676C">
        <w:t>number of RBs</w:t>
      </w:r>
      <w:r w:rsidR="0081291A">
        <w:t xml:space="preserve"> </w:t>
      </w:r>
      <w:r w:rsidR="003E1E81">
        <w:t xml:space="preserve">continue to have an MPR of about </w:t>
      </w:r>
      <w:r w:rsidR="00F5676C">
        <w:t xml:space="preserve">0.2 dB. </w:t>
      </w:r>
    </w:p>
    <w:p w14:paraId="212DE507" w14:textId="73C06230" w:rsidR="00E74798" w:rsidRPr="007E6DF0" w:rsidRDefault="00E74798" w:rsidP="00321F1A"/>
    <w:tbl>
      <w:tblPr>
        <w:tblStyle w:val="TableGrid"/>
        <w:tblW w:w="0" w:type="auto"/>
        <w:tblLook w:val="04A0" w:firstRow="1" w:lastRow="0" w:firstColumn="1" w:lastColumn="0" w:noHBand="0" w:noVBand="1"/>
      </w:tblPr>
      <w:tblGrid>
        <w:gridCol w:w="4650"/>
        <w:gridCol w:w="4700"/>
      </w:tblGrid>
      <w:tr w:rsidR="007E75F4" w14:paraId="585168C8" w14:textId="77777777" w:rsidTr="007E75F4">
        <w:tc>
          <w:tcPr>
            <w:tcW w:w="4675" w:type="dxa"/>
          </w:tcPr>
          <w:p w14:paraId="51A2CF4F" w14:textId="7E6C5F81" w:rsidR="007E75F4" w:rsidRDefault="007E75F4" w:rsidP="007E75F4">
            <w:r w:rsidRPr="007E75F4">
              <w:rPr>
                <w:noProof/>
              </w:rPr>
              <w:drawing>
                <wp:inline distT="0" distB="0" distL="0" distR="0" wp14:anchorId="1E98D7EB" wp14:editId="1466DCE5">
                  <wp:extent cx="2900855" cy="2194560"/>
                  <wp:effectExtent l="0" t="0" r="0" b="0"/>
                  <wp:docPr id="116" name="Picture 116">
                    <a:extLst xmlns:a="http://schemas.openxmlformats.org/drawingml/2006/main">
                      <a:ext uri="{FF2B5EF4-FFF2-40B4-BE49-F238E27FC236}">
                        <a16:creationId xmlns:a16="http://schemas.microsoft.com/office/drawing/2014/main" id="{6C65B949-D354-5B47-3BAE-F4DE1CBE0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C65B949-D354-5B47-3BAE-F4DE1CBE0876}"/>
                              </a:ext>
                            </a:extLst>
                          </pic:cNvPr>
                          <pic:cNvPicPr>
                            <a:picLocks noChangeAspect="1"/>
                          </pic:cNvPicPr>
                        </pic:nvPicPr>
                        <pic:blipFill>
                          <a:blip r:embed="rId20"/>
                          <a:stretch>
                            <a:fillRect/>
                          </a:stretch>
                        </pic:blipFill>
                        <pic:spPr>
                          <a:xfrm>
                            <a:off x="0" y="0"/>
                            <a:ext cx="2908109" cy="2200048"/>
                          </a:xfrm>
                          <a:prstGeom prst="rect">
                            <a:avLst/>
                          </a:prstGeom>
                        </pic:spPr>
                      </pic:pic>
                    </a:graphicData>
                  </a:graphic>
                </wp:inline>
              </w:drawing>
            </w:r>
          </w:p>
        </w:tc>
        <w:tc>
          <w:tcPr>
            <w:tcW w:w="4675" w:type="dxa"/>
          </w:tcPr>
          <w:p w14:paraId="6DF7D91F" w14:textId="47069D1F" w:rsidR="007E75F4" w:rsidRDefault="007E75F4" w:rsidP="00321F1A">
            <w:pPr>
              <w:keepNext/>
            </w:pPr>
            <w:r w:rsidRPr="0043795E">
              <w:rPr>
                <w:noProof/>
              </w:rPr>
              <w:drawing>
                <wp:inline distT="0" distB="0" distL="0" distR="0" wp14:anchorId="63C6894C" wp14:editId="578B0C58">
                  <wp:extent cx="2934312" cy="2186940"/>
                  <wp:effectExtent l="0" t="0" r="0" b="3810"/>
                  <wp:docPr id="117" name="Picture 117">
                    <a:extLst xmlns:a="http://schemas.openxmlformats.org/drawingml/2006/main">
                      <a:ext uri="{FF2B5EF4-FFF2-40B4-BE49-F238E27FC236}">
                        <a16:creationId xmlns:a16="http://schemas.microsoft.com/office/drawing/2014/main" id="{A517742B-F26C-BC18-7801-572F87356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A517742B-F26C-BC18-7801-572F87356CFA}"/>
                              </a:ext>
                            </a:extLst>
                          </pic:cNvPr>
                          <pic:cNvPicPr>
                            <a:picLocks noChangeAspect="1"/>
                          </pic:cNvPicPr>
                        </pic:nvPicPr>
                        <pic:blipFill>
                          <a:blip r:embed="rId21"/>
                          <a:stretch>
                            <a:fillRect/>
                          </a:stretch>
                        </pic:blipFill>
                        <pic:spPr>
                          <a:xfrm>
                            <a:off x="0" y="0"/>
                            <a:ext cx="2947625" cy="2196862"/>
                          </a:xfrm>
                          <a:prstGeom prst="rect">
                            <a:avLst/>
                          </a:prstGeom>
                        </pic:spPr>
                      </pic:pic>
                    </a:graphicData>
                  </a:graphic>
                </wp:inline>
              </w:drawing>
            </w:r>
          </w:p>
        </w:tc>
      </w:tr>
    </w:tbl>
    <w:p w14:paraId="1AF5406C" w14:textId="11E59A21" w:rsidR="007E75F4" w:rsidRPr="00321F1A" w:rsidRDefault="008E3790" w:rsidP="00321F1A">
      <w:pPr>
        <w:pStyle w:val="Caption"/>
        <w:jc w:val="center"/>
        <w:rPr>
          <w:color w:val="auto"/>
          <w:sz w:val="20"/>
          <w:szCs w:val="20"/>
        </w:rPr>
      </w:pPr>
      <w:bookmarkStart w:id="10" w:name="_Ref127529775"/>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11</w:t>
      </w:r>
      <w:r w:rsidRPr="00321F1A">
        <w:rPr>
          <w:color w:val="auto"/>
          <w:sz w:val="20"/>
          <w:szCs w:val="20"/>
        </w:rPr>
        <w:fldChar w:fldCharType="end"/>
      </w:r>
      <w:bookmarkEnd w:id="10"/>
      <w:r w:rsidRPr="00321F1A">
        <w:rPr>
          <w:color w:val="auto"/>
          <w:sz w:val="20"/>
          <w:szCs w:val="20"/>
        </w:rPr>
        <w:t xml:space="preserve"> </w:t>
      </w:r>
      <w:r w:rsidR="009E3F98">
        <w:rPr>
          <w:color w:val="auto"/>
          <w:sz w:val="20"/>
          <w:szCs w:val="20"/>
        </w:rPr>
        <w:t>MPR and p</w:t>
      </w:r>
      <w:r w:rsidRPr="00541788">
        <w:rPr>
          <w:color w:val="auto"/>
          <w:sz w:val="20"/>
          <w:szCs w:val="20"/>
        </w:rPr>
        <w:t>otential</w:t>
      </w:r>
      <w:r w:rsidRPr="00321F1A">
        <w:rPr>
          <w:color w:val="auto"/>
          <w:sz w:val="20"/>
          <w:szCs w:val="20"/>
        </w:rPr>
        <w:t xml:space="preserve"> power boost using tone reservation</w:t>
      </w:r>
      <w:r w:rsidR="009E3F98">
        <w:rPr>
          <w:color w:val="auto"/>
          <w:sz w:val="20"/>
          <w:szCs w:val="20"/>
        </w:rPr>
        <w:t>. 25% excess BW is assumed.</w:t>
      </w:r>
    </w:p>
    <w:p w14:paraId="2609C079" w14:textId="04034DF4" w:rsidR="0043795E" w:rsidRDefault="0043795E" w:rsidP="0043795E">
      <w:pPr>
        <w:rPr>
          <w:lang w:val="en-GB"/>
        </w:rPr>
      </w:pPr>
    </w:p>
    <w:p w14:paraId="54A90E2F" w14:textId="77777777" w:rsidR="00825B3C" w:rsidRPr="008B4038" w:rsidRDefault="00825B3C" w:rsidP="00825B3C">
      <w:pPr>
        <w:jc w:val="both"/>
        <w:rPr>
          <w:b/>
          <w:bCs/>
          <w:u w:val="single"/>
        </w:rPr>
      </w:pPr>
      <w:r w:rsidRPr="008B4038">
        <w:rPr>
          <w:b/>
          <w:bCs/>
          <w:u w:val="single"/>
        </w:rPr>
        <w:t>Caveats on power boost</w:t>
      </w:r>
    </w:p>
    <w:p w14:paraId="7491FEF5" w14:textId="33A45148" w:rsidR="00825B3C" w:rsidRDefault="00825B3C" w:rsidP="00825B3C">
      <w:pPr>
        <w:jc w:val="both"/>
      </w:pPr>
      <w:r>
        <w:t xml:space="preserve">It is non-trivial for a PC2 UE to transmit at powers greater than 26 dBm. Several RF challenges arise and the overall feasibility and reliability of such a UE warrants scrutiny. In particular, the additional input current to a PA and its implication on the design of the RF transceiver, thermal issues, reliability issues around RF components that have to sustain larger powers need to be examined closely. </w:t>
      </w:r>
    </w:p>
    <w:tbl>
      <w:tblPr>
        <w:tblStyle w:val="TableGrid"/>
        <w:tblW w:w="0" w:type="auto"/>
        <w:tblLook w:val="04A0" w:firstRow="1" w:lastRow="0" w:firstColumn="1" w:lastColumn="0" w:noHBand="0" w:noVBand="1"/>
      </w:tblPr>
      <w:tblGrid>
        <w:gridCol w:w="9350"/>
      </w:tblGrid>
      <w:tr w:rsidR="00B453E1" w14:paraId="427660B5" w14:textId="77777777" w:rsidTr="00B453E1">
        <w:tc>
          <w:tcPr>
            <w:tcW w:w="9350" w:type="dxa"/>
          </w:tcPr>
          <w:p w14:paraId="586C0130" w14:textId="0D94047D" w:rsidR="00B453E1" w:rsidRDefault="00B453E1" w:rsidP="00825B3C">
            <w:pPr>
              <w:jc w:val="both"/>
            </w:pPr>
            <w:r w:rsidRPr="008B4038">
              <w:rPr>
                <w:b/>
                <w:bCs/>
              </w:rPr>
              <w:lastRenderedPageBreak/>
              <w:t>Observation</w:t>
            </w:r>
            <w:r w:rsidR="008E3790">
              <w:rPr>
                <w:b/>
                <w:bCs/>
              </w:rPr>
              <w:t xml:space="preserve"> 4</w:t>
            </w:r>
            <w:r w:rsidRPr="008B4038">
              <w:rPr>
                <w:b/>
                <w:bCs/>
              </w:rPr>
              <w:t>:</w:t>
            </w:r>
            <w:r>
              <w:t xml:space="preserve"> For a PC2 UE, when a BW expansion factor of 25% is allowed, tone reservation can result in a potential power boost of about 1-1.5 dB for inner RB allocations and 0.2 to 0.6 dB for certain outer RB allocations.  Note that these results do not take other RF implementation challenges into account.</w:t>
            </w:r>
          </w:p>
        </w:tc>
      </w:tr>
    </w:tbl>
    <w:p w14:paraId="02F22E61" w14:textId="03B13C99" w:rsidR="0043795E" w:rsidRPr="00321F1A" w:rsidRDefault="0043795E" w:rsidP="00321F1A">
      <w:pPr>
        <w:rPr>
          <w:i/>
        </w:rPr>
      </w:pPr>
    </w:p>
    <w:p w14:paraId="4F7795EA" w14:textId="416E754D" w:rsidR="000227A0" w:rsidRDefault="000227A0" w:rsidP="00321F1A">
      <w:pPr>
        <w:pStyle w:val="Heading3"/>
      </w:pPr>
      <w:r>
        <w:t>Coverage Gain Using Tone Reservation</w:t>
      </w:r>
    </w:p>
    <w:p w14:paraId="5C11D9CA" w14:textId="4BEEF40D" w:rsidR="002A5DCF" w:rsidRDefault="00510A0D" w:rsidP="00F16280">
      <w:pPr>
        <w:jc w:val="both"/>
        <w:rPr>
          <w:bCs/>
        </w:rPr>
      </w:pPr>
      <w:r>
        <w:rPr>
          <w:lang w:val="en-GB"/>
        </w:rPr>
        <w:t xml:space="preserve">Using the potential power boost </w:t>
      </w:r>
      <w:r w:rsidR="00A22DB5">
        <w:rPr>
          <w:lang w:val="en-GB"/>
        </w:rPr>
        <w:t xml:space="preserve">presented in the previous section, we aim to assess the net coverage gain that one can realize using non-transparent </w:t>
      </w:r>
      <w:r w:rsidR="00700083">
        <w:rPr>
          <w:lang w:val="en-GB"/>
        </w:rPr>
        <w:t xml:space="preserve">tone reservation. </w:t>
      </w:r>
    </w:p>
    <w:p w14:paraId="38698221" w14:textId="3E4E5D32" w:rsidR="007A5E30" w:rsidRDefault="00700083" w:rsidP="00F16280">
      <w:pPr>
        <w:jc w:val="both"/>
        <w:rPr>
          <w:b/>
          <w:bCs/>
        </w:rPr>
      </w:pPr>
      <w:r>
        <w:rPr>
          <w:bCs/>
        </w:rPr>
        <w:t xml:space="preserve">To motivate such an analysis, </w:t>
      </w:r>
      <w:r w:rsidR="002133F5">
        <w:rPr>
          <w:bCs/>
        </w:rPr>
        <w:t>let’s</w:t>
      </w:r>
      <w:r w:rsidR="00F163AC">
        <w:rPr>
          <w:bCs/>
        </w:rPr>
        <w:t xml:space="preserve"> use the example with 8 RBs for data and 2 ex</w:t>
      </w:r>
      <w:r w:rsidR="00F16280">
        <w:rPr>
          <w:bCs/>
        </w:rPr>
        <w:t>cess RBs</w:t>
      </w:r>
      <w:r w:rsidR="00F163AC">
        <w:rPr>
          <w:bCs/>
        </w:rPr>
        <w:t xml:space="preserve">. </w:t>
      </w:r>
      <w:r w:rsidR="00F16280">
        <w:rPr>
          <w:bCs/>
        </w:rPr>
        <w:t>In this example, a</w:t>
      </w:r>
      <w:r w:rsidR="0042753F">
        <w:t xml:space="preserve"> total of </w:t>
      </w:r>
      <w:r w:rsidR="00F16280">
        <w:t xml:space="preserve">10 RBs are used </w:t>
      </w:r>
      <w:r w:rsidR="0042753F">
        <w:t>to transmit a</w:t>
      </w:r>
      <w:r w:rsidR="003870EE">
        <w:t xml:space="preserve"> TB size corresponding to </w:t>
      </w:r>
      <w:r w:rsidR="00F16280">
        <w:t>8</w:t>
      </w:r>
      <w:r w:rsidR="003870EE">
        <w:t xml:space="preserve"> RBs. Rather than use these RBs to shape the waveform and reduce PAPR, </w:t>
      </w:r>
      <w:r w:rsidR="001F210B">
        <w:t>the reserved tones could have been used for data transmission and reduc</w:t>
      </w:r>
      <w:r w:rsidR="0041053A">
        <w:t>ing</w:t>
      </w:r>
      <w:r w:rsidR="001F210B">
        <w:t xml:space="preserve"> the coding rate</w:t>
      </w:r>
      <w:r w:rsidR="00D422F0">
        <w:t>, i.e.</w:t>
      </w:r>
      <w:r w:rsidR="0076140C">
        <w:t>,</w:t>
      </w:r>
      <w:r w:rsidR="00D422F0">
        <w:t xml:space="preserve"> for the same TB size, a lower MCS could have been chosen</w:t>
      </w:r>
      <w:r w:rsidR="006754AE">
        <w:t xml:space="preserve"> as shown in </w:t>
      </w:r>
      <w:r w:rsidR="006754AE">
        <w:fldChar w:fldCharType="begin"/>
      </w:r>
      <w:r w:rsidR="006754AE">
        <w:instrText xml:space="preserve"> REF _Ref115266867 \h </w:instrText>
      </w:r>
      <w:r w:rsidR="006754AE">
        <w:fldChar w:fldCharType="separate"/>
      </w:r>
      <w:r w:rsidR="00EA7EC4">
        <w:t xml:space="preserve">Figure </w:t>
      </w:r>
      <w:r w:rsidR="00EA7EC4">
        <w:rPr>
          <w:noProof/>
        </w:rPr>
        <w:t>12</w:t>
      </w:r>
      <w:r w:rsidR="006754AE">
        <w:fldChar w:fldCharType="end"/>
      </w:r>
      <w:r w:rsidR="006754AE">
        <w:t>.</w:t>
      </w:r>
      <w:r w:rsidR="001F210B">
        <w:t xml:space="preserve"> It is expected that </w:t>
      </w:r>
      <w:r w:rsidR="00D422F0">
        <w:t xml:space="preserve">for the same payload size, </w:t>
      </w:r>
      <w:r w:rsidR="006754AE">
        <w:t xml:space="preserve">the SNR required will be lower when all </w:t>
      </w:r>
      <w:r w:rsidR="00E75CC8">
        <w:t xml:space="preserve">the RBs are used for data transmission. Thus, there exists a trade-off between </w:t>
      </w:r>
      <w:r w:rsidR="00F13ABC">
        <w:t xml:space="preserve">transmit power gains using the reserved tones and </w:t>
      </w:r>
      <w:r w:rsidR="001024B6">
        <w:t>lower operating SNR</w:t>
      </w:r>
      <w:r w:rsidR="00936564">
        <w:t xml:space="preserve"> due to </w:t>
      </w:r>
      <w:r w:rsidR="005C7266">
        <w:t>lower coding rate</w:t>
      </w:r>
      <w:r w:rsidR="00CE7B23">
        <w:t>; t</w:t>
      </w:r>
      <w:r w:rsidR="005C7266">
        <w:t>he net</w:t>
      </w:r>
      <w:r w:rsidR="00E73257">
        <w:t>-</w:t>
      </w:r>
      <w:r w:rsidR="005C7266">
        <w:t xml:space="preserve">benefit of </w:t>
      </w:r>
      <w:r w:rsidR="005255B9">
        <w:t xml:space="preserve">non-transparent </w:t>
      </w:r>
      <w:r w:rsidR="005C7266">
        <w:t>tone reservation is the</w:t>
      </w:r>
      <w:r w:rsidR="00CE7B23">
        <w:t xml:space="preserve">n </w:t>
      </w:r>
      <w:r w:rsidR="0076140C">
        <w:t>the difference</w:t>
      </w:r>
      <w:r w:rsidR="00CE7B23">
        <w:t xml:space="preserve"> between these two </w:t>
      </w:r>
      <w:r w:rsidR="00B33169">
        <w:t>metrics.</w:t>
      </w:r>
    </w:p>
    <w:p w14:paraId="374802A5" w14:textId="2C5F06FE" w:rsidR="00BC770A" w:rsidRDefault="00FB1F2D" w:rsidP="00321F1A">
      <w:pPr>
        <w:keepNext/>
        <w:jc w:val="center"/>
      </w:pPr>
      <w:r>
        <w:rPr>
          <w:noProof/>
        </w:rPr>
        <w:drawing>
          <wp:inline distT="0" distB="0" distL="0" distR="0" wp14:anchorId="6C1C3E84" wp14:editId="66FD944F">
            <wp:extent cx="3699914" cy="2384784"/>
            <wp:effectExtent l="0" t="0" r="0" b="0"/>
            <wp:docPr id="68" name="Picture 6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table&#10;&#10;Description automatically generated"/>
                    <pic:cNvPicPr/>
                  </pic:nvPicPr>
                  <pic:blipFill>
                    <a:blip r:embed="rId22"/>
                    <a:stretch>
                      <a:fillRect/>
                    </a:stretch>
                  </pic:blipFill>
                  <pic:spPr>
                    <a:xfrm>
                      <a:off x="0" y="0"/>
                      <a:ext cx="3734334" cy="2406969"/>
                    </a:xfrm>
                    <a:prstGeom prst="rect">
                      <a:avLst/>
                    </a:prstGeom>
                  </pic:spPr>
                </pic:pic>
              </a:graphicData>
            </a:graphic>
          </wp:inline>
        </w:drawing>
      </w:r>
    </w:p>
    <w:p w14:paraId="09C30B1A" w14:textId="4D63D5F8" w:rsidR="006D36C2" w:rsidRDefault="00BC770A" w:rsidP="00BC770A">
      <w:pPr>
        <w:pStyle w:val="Caption"/>
        <w:jc w:val="center"/>
      </w:pPr>
      <w:bookmarkStart w:id="11" w:name="_Ref115266867"/>
      <w:r>
        <w:t xml:space="preserve">Figure </w:t>
      </w:r>
      <w:r>
        <w:fldChar w:fldCharType="begin"/>
      </w:r>
      <w:r>
        <w:instrText xml:space="preserve"> SEQ Figure \* ARABIC </w:instrText>
      </w:r>
      <w:r>
        <w:fldChar w:fldCharType="separate"/>
      </w:r>
      <w:r w:rsidR="00EA7EC4">
        <w:rPr>
          <w:noProof/>
        </w:rPr>
        <w:t>12</w:t>
      </w:r>
      <w:r>
        <w:fldChar w:fldCharType="end"/>
      </w:r>
      <w:bookmarkEnd w:id="11"/>
      <w:r>
        <w:t xml:space="preserve"> Baseline for assessing gains from tone reservation</w:t>
      </w:r>
      <w:r w:rsidR="00BB02C4">
        <w:t xml:space="preserve">. Values used are for illustration </w:t>
      </w:r>
      <w:r w:rsidR="00C453D1">
        <w:t>only.</w:t>
      </w:r>
    </w:p>
    <w:p w14:paraId="18AD29BF" w14:textId="1EFA8253" w:rsidR="001B64F3" w:rsidRPr="00BD1F86" w:rsidRDefault="007C2960" w:rsidP="00321F1A">
      <w:pPr>
        <w:jc w:val="both"/>
        <w:rPr>
          <w:lang w:val="en-GB"/>
        </w:rPr>
      </w:pPr>
      <w:r w:rsidRPr="00BD1F86">
        <w:rPr>
          <w:lang w:val="en-GB"/>
        </w:rPr>
        <w:t xml:space="preserve">In the following table, we carry out such an analysis for </w:t>
      </w:r>
      <w:r w:rsidR="00381CD5" w:rsidRPr="00BD1F86">
        <w:rPr>
          <w:lang w:val="en-GB"/>
        </w:rPr>
        <w:t xml:space="preserve">the set of 10 </w:t>
      </w:r>
      <w:r w:rsidR="00B34AD5" w:rsidRPr="00BD1F86">
        <w:rPr>
          <w:lang w:val="en-GB"/>
        </w:rPr>
        <w:t xml:space="preserve">scenarios agreed in the last meeting for calibration. We use </w:t>
      </w:r>
      <w:r w:rsidR="00C453D1" w:rsidRPr="00BD1F86">
        <w:rPr>
          <w:lang w:val="en-GB"/>
        </w:rPr>
        <w:t xml:space="preserve">link performance curves </w:t>
      </w:r>
      <w:r w:rsidR="001B64F3" w:rsidRPr="00BD1F86">
        <w:rPr>
          <w:lang w:val="en-GB"/>
        </w:rPr>
        <w:t xml:space="preserve">to assess the additional SNR required when tone reservation is used </w:t>
      </w:r>
      <w:r w:rsidR="008A0179" w:rsidRPr="00BD1F86">
        <w:rPr>
          <w:lang w:val="en-GB"/>
        </w:rPr>
        <w:t xml:space="preserve">compared to the case where all RBs are used towards legacy PUSCH transmission. </w:t>
      </w:r>
      <w:r w:rsidR="002A5DCF" w:rsidRPr="00BD1F86">
        <w:rPr>
          <w:lang w:val="en-GB"/>
        </w:rPr>
        <w:t xml:space="preserve">The simulation parameters are summarized in </w:t>
      </w:r>
      <w:r w:rsidR="002A5DCF" w:rsidRPr="00BD1F86">
        <w:rPr>
          <w:lang w:val="en-GB"/>
        </w:rPr>
        <w:fldChar w:fldCharType="begin"/>
      </w:r>
      <w:r w:rsidR="002A5DCF" w:rsidRPr="00BD1F86">
        <w:rPr>
          <w:lang w:val="en-GB"/>
        </w:rPr>
        <w:instrText xml:space="preserve"> REF _Ref127479615 \h </w:instrText>
      </w:r>
      <w:r w:rsidR="00BD1F86" w:rsidRPr="00321F1A">
        <w:rPr>
          <w:lang w:val="en-GB"/>
        </w:rPr>
        <w:instrText xml:space="preserve"> \* MERGEFORMAT </w:instrText>
      </w:r>
      <w:r w:rsidR="002A5DCF" w:rsidRPr="00BD1F86">
        <w:rPr>
          <w:lang w:val="en-GB"/>
        </w:rPr>
      </w:r>
      <w:r w:rsidR="002A5DCF" w:rsidRPr="00BD1F86">
        <w:rPr>
          <w:lang w:val="en-GB"/>
        </w:rPr>
        <w:fldChar w:fldCharType="separate"/>
      </w:r>
      <w:r w:rsidR="00EA7EC4" w:rsidRPr="00EA7EC4">
        <w:t xml:space="preserve">Table </w:t>
      </w:r>
      <w:r w:rsidR="00EA7EC4" w:rsidRPr="00EA7EC4">
        <w:rPr>
          <w:noProof/>
        </w:rPr>
        <w:t>3</w:t>
      </w:r>
      <w:r w:rsidR="002A5DCF" w:rsidRPr="00BD1F86">
        <w:rPr>
          <w:lang w:val="en-GB"/>
        </w:rPr>
        <w:fldChar w:fldCharType="end"/>
      </w:r>
      <w:r w:rsidR="006A3D0A" w:rsidRPr="00BD1F86">
        <w:rPr>
          <w:lang w:val="en-GB"/>
        </w:rPr>
        <w:t>.</w:t>
      </w:r>
    </w:p>
    <w:p w14:paraId="2DDA08C4" w14:textId="48E9EEE6" w:rsidR="002A5DCF" w:rsidRPr="00321F1A" w:rsidRDefault="002A5DCF" w:rsidP="00321F1A">
      <w:pPr>
        <w:pStyle w:val="Caption"/>
        <w:keepNext/>
        <w:jc w:val="center"/>
        <w:rPr>
          <w:b/>
          <w:bCs/>
        </w:rPr>
      </w:pPr>
      <w:bookmarkStart w:id="12" w:name="_Ref127479615"/>
      <w:r w:rsidRPr="00321F1A">
        <w:rPr>
          <w:b/>
          <w:bCs/>
        </w:rPr>
        <w:t xml:space="preserve">Table </w:t>
      </w:r>
      <w:r w:rsidRPr="00321F1A">
        <w:rPr>
          <w:b/>
          <w:bCs/>
        </w:rPr>
        <w:fldChar w:fldCharType="begin"/>
      </w:r>
      <w:r w:rsidRPr="00321F1A">
        <w:rPr>
          <w:b/>
          <w:bCs/>
        </w:rPr>
        <w:instrText xml:space="preserve"> SEQ Table \* ARABIC </w:instrText>
      </w:r>
      <w:r w:rsidRPr="00321F1A">
        <w:rPr>
          <w:b/>
          <w:bCs/>
        </w:rPr>
        <w:fldChar w:fldCharType="separate"/>
      </w:r>
      <w:r w:rsidR="00EA7EC4">
        <w:rPr>
          <w:b/>
          <w:bCs/>
          <w:noProof/>
        </w:rPr>
        <w:t>3</w:t>
      </w:r>
      <w:r w:rsidRPr="00321F1A">
        <w:rPr>
          <w:b/>
          <w:bCs/>
        </w:rPr>
        <w:fldChar w:fldCharType="end"/>
      </w:r>
      <w:bookmarkEnd w:id="12"/>
      <w:r w:rsidRPr="00321F1A">
        <w:rPr>
          <w:b/>
          <w:bCs/>
        </w:rPr>
        <w:t xml:space="preserve"> Simulation Parameters for link-level evaluations</w:t>
      </w:r>
    </w:p>
    <w:tbl>
      <w:tblPr>
        <w:tblStyle w:val="TableGrid"/>
        <w:tblW w:w="0" w:type="auto"/>
        <w:jc w:val="center"/>
        <w:tblLook w:val="04A0" w:firstRow="1" w:lastRow="0" w:firstColumn="1" w:lastColumn="0" w:noHBand="0" w:noVBand="1"/>
      </w:tblPr>
      <w:tblGrid>
        <w:gridCol w:w="3187"/>
        <w:gridCol w:w="2928"/>
      </w:tblGrid>
      <w:tr w:rsidR="00A5367C" w:rsidRPr="005807AB" w14:paraId="1EA2C263" w14:textId="77777777" w:rsidTr="00321F1A">
        <w:trPr>
          <w:jc w:val="center"/>
        </w:trPr>
        <w:tc>
          <w:tcPr>
            <w:tcW w:w="3187" w:type="dxa"/>
            <w:shd w:val="clear" w:color="auto" w:fill="4472C4" w:themeFill="accent1"/>
          </w:tcPr>
          <w:p w14:paraId="7129C2AB" w14:textId="77777777" w:rsidR="00A5367C" w:rsidRPr="00883614" w:rsidRDefault="00A5367C" w:rsidP="008B4038">
            <w:pPr>
              <w:rPr>
                <w:b/>
                <w:bCs/>
                <w:lang w:eastAsia="zh-CN"/>
              </w:rPr>
            </w:pPr>
            <w:r w:rsidRPr="00883614">
              <w:rPr>
                <w:b/>
                <w:bCs/>
                <w:lang w:eastAsia="zh-CN"/>
              </w:rPr>
              <w:t>Parameter</w:t>
            </w:r>
          </w:p>
        </w:tc>
        <w:tc>
          <w:tcPr>
            <w:tcW w:w="2928" w:type="dxa"/>
            <w:shd w:val="clear" w:color="auto" w:fill="4472C4" w:themeFill="accent1"/>
          </w:tcPr>
          <w:p w14:paraId="6A1E11EE" w14:textId="77777777" w:rsidR="00A5367C" w:rsidRPr="00883614" w:rsidRDefault="00A5367C" w:rsidP="008B4038">
            <w:pPr>
              <w:rPr>
                <w:b/>
                <w:bCs/>
                <w:lang w:eastAsia="zh-CN"/>
              </w:rPr>
            </w:pPr>
            <w:r w:rsidRPr="00883614">
              <w:rPr>
                <w:b/>
                <w:bCs/>
                <w:lang w:eastAsia="zh-CN"/>
              </w:rPr>
              <w:t>Value</w:t>
            </w:r>
          </w:p>
        </w:tc>
      </w:tr>
      <w:tr w:rsidR="00A5367C" w:rsidRPr="005807AB" w14:paraId="384D4856" w14:textId="77777777" w:rsidTr="00321F1A">
        <w:trPr>
          <w:trHeight w:val="90"/>
          <w:jc w:val="center"/>
        </w:trPr>
        <w:tc>
          <w:tcPr>
            <w:tcW w:w="3187" w:type="dxa"/>
          </w:tcPr>
          <w:p w14:paraId="65080B28" w14:textId="77777777" w:rsidR="00A5367C" w:rsidRPr="00883614" w:rsidRDefault="00A5367C" w:rsidP="008B4038">
            <w:pPr>
              <w:spacing w:after="0"/>
              <w:rPr>
                <w:lang w:eastAsia="zh-CN"/>
              </w:rPr>
            </w:pPr>
            <w:r w:rsidRPr="00883614">
              <w:rPr>
                <w:lang w:eastAsia="zh-CN"/>
              </w:rPr>
              <w:t>Carrier frequency and scenario</w:t>
            </w:r>
          </w:p>
        </w:tc>
        <w:tc>
          <w:tcPr>
            <w:tcW w:w="2928" w:type="dxa"/>
          </w:tcPr>
          <w:p w14:paraId="00A0EA68" w14:textId="77777777" w:rsidR="00A5367C" w:rsidRPr="00883614" w:rsidRDefault="00A5367C" w:rsidP="008B4038">
            <w:pPr>
              <w:spacing w:after="0"/>
              <w:rPr>
                <w:lang w:eastAsia="zh-CN"/>
              </w:rPr>
            </w:pPr>
            <w:r w:rsidRPr="00883614">
              <w:rPr>
                <w:lang w:eastAsia="zh-CN"/>
              </w:rPr>
              <w:t>4GHz (Urban)</w:t>
            </w:r>
          </w:p>
        </w:tc>
      </w:tr>
      <w:tr w:rsidR="00A5367C" w:rsidRPr="005807AB" w14:paraId="72F8D831" w14:textId="77777777" w:rsidTr="00321F1A">
        <w:trPr>
          <w:jc w:val="center"/>
        </w:trPr>
        <w:tc>
          <w:tcPr>
            <w:tcW w:w="3187" w:type="dxa"/>
          </w:tcPr>
          <w:p w14:paraId="07DCD9B2" w14:textId="77777777" w:rsidR="00A5367C" w:rsidRPr="00883614" w:rsidRDefault="00A5367C" w:rsidP="008B4038">
            <w:pPr>
              <w:spacing w:after="0"/>
              <w:rPr>
                <w:lang w:eastAsia="zh-CN"/>
              </w:rPr>
            </w:pPr>
            <w:r w:rsidRPr="00883614">
              <w:rPr>
                <w:lang w:eastAsia="zh-CN"/>
              </w:rPr>
              <w:t>Channel BW</w:t>
            </w:r>
          </w:p>
        </w:tc>
        <w:tc>
          <w:tcPr>
            <w:tcW w:w="2928" w:type="dxa"/>
          </w:tcPr>
          <w:p w14:paraId="3E98476C" w14:textId="77777777" w:rsidR="00A5367C" w:rsidRPr="00883614" w:rsidRDefault="00A5367C" w:rsidP="008B4038">
            <w:pPr>
              <w:spacing w:after="0"/>
              <w:rPr>
                <w:lang w:eastAsia="zh-CN"/>
              </w:rPr>
            </w:pPr>
            <w:r w:rsidRPr="00883614">
              <w:rPr>
                <w:lang w:eastAsia="zh-CN"/>
              </w:rPr>
              <w:t>100MHz (for 4GHz)</w:t>
            </w:r>
          </w:p>
        </w:tc>
      </w:tr>
      <w:tr w:rsidR="00A5367C" w:rsidRPr="005807AB" w14:paraId="5FC952FE" w14:textId="77777777" w:rsidTr="00321F1A">
        <w:trPr>
          <w:jc w:val="center"/>
        </w:trPr>
        <w:tc>
          <w:tcPr>
            <w:tcW w:w="3187" w:type="dxa"/>
          </w:tcPr>
          <w:p w14:paraId="4F8AC776" w14:textId="77777777" w:rsidR="00A5367C" w:rsidRPr="00883614" w:rsidRDefault="00A5367C" w:rsidP="008B4038">
            <w:pPr>
              <w:spacing w:after="0"/>
              <w:rPr>
                <w:lang w:eastAsia="zh-CN"/>
              </w:rPr>
            </w:pPr>
            <w:r w:rsidRPr="00883614">
              <w:rPr>
                <w:lang w:eastAsia="zh-CN"/>
              </w:rPr>
              <w:t>SCS</w:t>
            </w:r>
          </w:p>
        </w:tc>
        <w:tc>
          <w:tcPr>
            <w:tcW w:w="2928" w:type="dxa"/>
          </w:tcPr>
          <w:p w14:paraId="1A12D6DB" w14:textId="77777777" w:rsidR="00A5367C" w:rsidRPr="00883614" w:rsidRDefault="00A5367C" w:rsidP="008B4038">
            <w:pPr>
              <w:spacing w:after="0"/>
              <w:rPr>
                <w:lang w:eastAsia="zh-CN"/>
              </w:rPr>
            </w:pPr>
            <w:r w:rsidRPr="00883614">
              <w:rPr>
                <w:lang w:eastAsia="zh-CN"/>
              </w:rPr>
              <w:t>30kHz (for 4GHz)</w:t>
            </w:r>
          </w:p>
        </w:tc>
      </w:tr>
      <w:tr w:rsidR="00A5367C" w:rsidRPr="005807AB" w14:paraId="5C644DF7" w14:textId="77777777" w:rsidTr="00321F1A">
        <w:trPr>
          <w:jc w:val="center"/>
        </w:trPr>
        <w:tc>
          <w:tcPr>
            <w:tcW w:w="3187" w:type="dxa"/>
          </w:tcPr>
          <w:p w14:paraId="4981C665" w14:textId="77777777" w:rsidR="00A5367C" w:rsidRPr="00883614" w:rsidRDefault="00A5367C" w:rsidP="008B4038">
            <w:pPr>
              <w:spacing w:after="0"/>
              <w:rPr>
                <w:lang w:eastAsia="zh-CN"/>
              </w:rPr>
            </w:pPr>
            <w:r w:rsidRPr="00883614">
              <w:rPr>
                <w:lang w:eastAsia="zh-CN"/>
              </w:rPr>
              <w:t>Channel model</w:t>
            </w:r>
          </w:p>
        </w:tc>
        <w:tc>
          <w:tcPr>
            <w:tcW w:w="2928" w:type="dxa"/>
          </w:tcPr>
          <w:p w14:paraId="12A4EEA8" w14:textId="77777777" w:rsidR="00A5367C" w:rsidRPr="00883614" w:rsidRDefault="00A5367C" w:rsidP="008B4038">
            <w:pPr>
              <w:spacing w:after="0"/>
              <w:rPr>
                <w:lang w:eastAsia="zh-CN"/>
              </w:rPr>
            </w:pPr>
            <w:r w:rsidRPr="00883614">
              <w:rPr>
                <w:lang w:eastAsia="zh-CN"/>
              </w:rPr>
              <w:t>TDL-C 300ns for FR1 Urban</w:t>
            </w:r>
          </w:p>
        </w:tc>
      </w:tr>
      <w:tr w:rsidR="00A5367C" w:rsidRPr="005807AB" w14:paraId="74E2C505" w14:textId="77777777" w:rsidTr="00321F1A">
        <w:trPr>
          <w:jc w:val="center"/>
        </w:trPr>
        <w:tc>
          <w:tcPr>
            <w:tcW w:w="3187" w:type="dxa"/>
          </w:tcPr>
          <w:p w14:paraId="0F0FD9A5" w14:textId="77777777" w:rsidR="00A5367C" w:rsidRPr="00883614" w:rsidRDefault="00A5367C" w:rsidP="008B4038">
            <w:pPr>
              <w:spacing w:after="0"/>
              <w:rPr>
                <w:lang w:eastAsia="zh-CN"/>
              </w:rPr>
            </w:pPr>
            <w:r w:rsidRPr="00883614">
              <w:rPr>
                <w:lang w:eastAsia="zh-CN"/>
              </w:rPr>
              <w:t>UE speed</w:t>
            </w:r>
          </w:p>
        </w:tc>
        <w:tc>
          <w:tcPr>
            <w:tcW w:w="2928" w:type="dxa"/>
          </w:tcPr>
          <w:p w14:paraId="6E1D4B68" w14:textId="77777777" w:rsidR="00A5367C" w:rsidRPr="00883614" w:rsidRDefault="00A5367C" w:rsidP="008B4038">
            <w:pPr>
              <w:spacing w:after="0"/>
              <w:rPr>
                <w:lang w:eastAsia="zh-CN"/>
              </w:rPr>
            </w:pPr>
            <w:r w:rsidRPr="00883614">
              <w:rPr>
                <w:lang w:eastAsia="zh-CN"/>
              </w:rPr>
              <w:t>3km/h</w:t>
            </w:r>
          </w:p>
        </w:tc>
      </w:tr>
      <w:tr w:rsidR="00A5367C" w:rsidRPr="005807AB" w14:paraId="4EC53CFC" w14:textId="77777777" w:rsidTr="00321F1A">
        <w:trPr>
          <w:jc w:val="center"/>
        </w:trPr>
        <w:tc>
          <w:tcPr>
            <w:tcW w:w="3187" w:type="dxa"/>
          </w:tcPr>
          <w:p w14:paraId="3AAD54EA" w14:textId="77777777" w:rsidR="00A5367C" w:rsidRPr="00883614" w:rsidRDefault="00A5367C" w:rsidP="008B4038">
            <w:pPr>
              <w:spacing w:after="0"/>
              <w:rPr>
                <w:lang w:eastAsia="zh-CN"/>
              </w:rPr>
            </w:pPr>
            <w:r w:rsidRPr="00883614">
              <w:rPr>
                <w:lang w:eastAsia="zh-CN"/>
              </w:rPr>
              <w:t>Waveform</w:t>
            </w:r>
          </w:p>
        </w:tc>
        <w:tc>
          <w:tcPr>
            <w:tcW w:w="2928" w:type="dxa"/>
          </w:tcPr>
          <w:p w14:paraId="269F77D7" w14:textId="77777777" w:rsidR="00A5367C" w:rsidRPr="00883614" w:rsidRDefault="00A5367C" w:rsidP="008B4038">
            <w:pPr>
              <w:spacing w:after="0"/>
              <w:rPr>
                <w:lang w:eastAsia="zh-CN"/>
              </w:rPr>
            </w:pPr>
            <w:r w:rsidRPr="00883614">
              <w:rPr>
                <w:lang w:eastAsia="zh-CN"/>
              </w:rPr>
              <w:t>DFT-s-OFDM</w:t>
            </w:r>
          </w:p>
        </w:tc>
      </w:tr>
      <w:tr w:rsidR="00A5367C" w:rsidRPr="005807AB" w14:paraId="091C1124" w14:textId="77777777" w:rsidTr="00321F1A">
        <w:trPr>
          <w:jc w:val="center"/>
        </w:trPr>
        <w:tc>
          <w:tcPr>
            <w:tcW w:w="3187" w:type="dxa"/>
          </w:tcPr>
          <w:p w14:paraId="7FC16D21" w14:textId="77777777" w:rsidR="00A5367C" w:rsidRPr="00883614" w:rsidRDefault="00A5367C" w:rsidP="008B4038">
            <w:pPr>
              <w:spacing w:after="0"/>
              <w:rPr>
                <w:lang w:eastAsia="zh-CN"/>
              </w:rPr>
            </w:pPr>
            <w:r w:rsidRPr="00883614">
              <w:rPr>
                <w:lang w:eastAsia="zh-CN"/>
              </w:rPr>
              <w:t xml:space="preserve">Modulation </w:t>
            </w:r>
          </w:p>
        </w:tc>
        <w:tc>
          <w:tcPr>
            <w:tcW w:w="2928" w:type="dxa"/>
          </w:tcPr>
          <w:p w14:paraId="3A84862C" w14:textId="51880017" w:rsidR="00A5367C" w:rsidRPr="00883614" w:rsidRDefault="00A5367C" w:rsidP="008B4038">
            <w:pPr>
              <w:spacing w:after="0"/>
              <w:rPr>
                <w:lang w:eastAsia="zh-CN"/>
              </w:rPr>
            </w:pPr>
            <w:r w:rsidRPr="00883614">
              <w:rPr>
                <w:lang w:eastAsia="zh-CN"/>
              </w:rPr>
              <w:t>QPSK</w:t>
            </w:r>
          </w:p>
        </w:tc>
      </w:tr>
      <w:tr w:rsidR="00A5367C" w:rsidRPr="005807AB" w14:paraId="15124AFB" w14:textId="77777777" w:rsidTr="00321F1A">
        <w:trPr>
          <w:jc w:val="center"/>
        </w:trPr>
        <w:tc>
          <w:tcPr>
            <w:tcW w:w="3187" w:type="dxa"/>
          </w:tcPr>
          <w:p w14:paraId="14CA4CAD" w14:textId="77777777" w:rsidR="00A5367C" w:rsidRPr="00883614" w:rsidRDefault="00A5367C" w:rsidP="008B4038">
            <w:pPr>
              <w:spacing w:after="0"/>
              <w:rPr>
                <w:lang w:eastAsia="zh-CN"/>
              </w:rPr>
            </w:pPr>
            <w:r w:rsidRPr="00883614">
              <w:rPr>
                <w:lang w:eastAsia="zh-CN"/>
              </w:rPr>
              <w:t>Number of Tx antennas</w:t>
            </w:r>
          </w:p>
        </w:tc>
        <w:tc>
          <w:tcPr>
            <w:tcW w:w="2928" w:type="dxa"/>
          </w:tcPr>
          <w:p w14:paraId="2FEC3DF9" w14:textId="77777777" w:rsidR="00A5367C" w:rsidRPr="00883614" w:rsidRDefault="00A5367C" w:rsidP="008B4038">
            <w:pPr>
              <w:spacing w:after="0"/>
              <w:rPr>
                <w:lang w:eastAsia="zh-CN"/>
              </w:rPr>
            </w:pPr>
            <w:r w:rsidRPr="00883614">
              <w:rPr>
                <w:lang w:eastAsia="zh-CN"/>
              </w:rPr>
              <w:t>1</w:t>
            </w:r>
          </w:p>
        </w:tc>
      </w:tr>
      <w:tr w:rsidR="00A5367C" w:rsidRPr="005807AB" w14:paraId="5A2975BA" w14:textId="77777777" w:rsidTr="00321F1A">
        <w:trPr>
          <w:jc w:val="center"/>
        </w:trPr>
        <w:tc>
          <w:tcPr>
            <w:tcW w:w="3187" w:type="dxa"/>
          </w:tcPr>
          <w:p w14:paraId="79D34AA2" w14:textId="77777777" w:rsidR="00A5367C" w:rsidRPr="00883614" w:rsidRDefault="00A5367C" w:rsidP="008B4038">
            <w:pPr>
              <w:spacing w:after="0"/>
              <w:rPr>
                <w:lang w:eastAsia="zh-CN"/>
              </w:rPr>
            </w:pPr>
            <w:r w:rsidRPr="00883614">
              <w:rPr>
                <w:lang w:eastAsia="zh-CN"/>
              </w:rPr>
              <w:t>Number of Rx antennas</w:t>
            </w:r>
          </w:p>
        </w:tc>
        <w:tc>
          <w:tcPr>
            <w:tcW w:w="2928" w:type="dxa"/>
          </w:tcPr>
          <w:p w14:paraId="39E325AF" w14:textId="77777777" w:rsidR="00A5367C" w:rsidRPr="00883614" w:rsidRDefault="00A5367C" w:rsidP="008B4038">
            <w:pPr>
              <w:spacing w:after="0"/>
              <w:rPr>
                <w:lang w:eastAsia="zh-CN"/>
              </w:rPr>
            </w:pPr>
            <w:r w:rsidRPr="00883614">
              <w:rPr>
                <w:lang w:eastAsia="zh-CN"/>
              </w:rPr>
              <w:t>4</w:t>
            </w:r>
          </w:p>
        </w:tc>
      </w:tr>
      <w:tr w:rsidR="00A5367C" w:rsidRPr="005807AB" w14:paraId="1D6039EE" w14:textId="77777777" w:rsidTr="00321F1A">
        <w:trPr>
          <w:jc w:val="center"/>
        </w:trPr>
        <w:tc>
          <w:tcPr>
            <w:tcW w:w="3187" w:type="dxa"/>
          </w:tcPr>
          <w:p w14:paraId="03964188" w14:textId="77777777" w:rsidR="00A5367C" w:rsidRPr="00883614" w:rsidRDefault="00A5367C" w:rsidP="008B4038">
            <w:pPr>
              <w:spacing w:after="0"/>
              <w:rPr>
                <w:lang w:eastAsia="zh-CN"/>
              </w:rPr>
            </w:pPr>
            <w:r w:rsidRPr="00883614">
              <w:rPr>
                <w:lang w:eastAsia="zh-CN"/>
              </w:rPr>
              <w:t>Number of DMRS symbols</w:t>
            </w:r>
          </w:p>
        </w:tc>
        <w:tc>
          <w:tcPr>
            <w:tcW w:w="2928" w:type="dxa"/>
          </w:tcPr>
          <w:p w14:paraId="365CB388" w14:textId="77777777" w:rsidR="00A5367C" w:rsidRPr="00883614" w:rsidRDefault="00A5367C" w:rsidP="008B4038">
            <w:pPr>
              <w:spacing w:after="0"/>
              <w:rPr>
                <w:lang w:eastAsia="zh-CN"/>
              </w:rPr>
            </w:pPr>
            <w:r w:rsidRPr="00883614">
              <w:rPr>
                <w:lang w:eastAsia="zh-CN"/>
              </w:rPr>
              <w:t>2</w:t>
            </w:r>
          </w:p>
        </w:tc>
      </w:tr>
      <w:tr w:rsidR="00A5367C" w:rsidRPr="005807AB" w14:paraId="3CA5F853" w14:textId="77777777" w:rsidTr="00321F1A">
        <w:trPr>
          <w:jc w:val="center"/>
        </w:trPr>
        <w:tc>
          <w:tcPr>
            <w:tcW w:w="3187" w:type="dxa"/>
          </w:tcPr>
          <w:p w14:paraId="0F9B2AEB" w14:textId="77777777" w:rsidR="00A5367C" w:rsidRPr="00883614" w:rsidRDefault="00A5367C" w:rsidP="008B4038">
            <w:pPr>
              <w:spacing w:after="0"/>
              <w:rPr>
                <w:lang w:eastAsia="zh-CN"/>
              </w:rPr>
            </w:pPr>
            <w:r w:rsidRPr="00883614">
              <w:rPr>
                <w:lang w:eastAsia="zh-CN"/>
              </w:rPr>
              <w:t>Number of PUSCH data symbols</w:t>
            </w:r>
          </w:p>
        </w:tc>
        <w:tc>
          <w:tcPr>
            <w:tcW w:w="2928" w:type="dxa"/>
          </w:tcPr>
          <w:p w14:paraId="4ECA2979" w14:textId="77777777" w:rsidR="00A5367C" w:rsidRPr="00883614" w:rsidRDefault="00A5367C" w:rsidP="008B4038">
            <w:pPr>
              <w:spacing w:after="0"/>
              <w:rPr>
                <w:lang w:eastAsia="zh-CN"/>
              </w:rPr>
            </w:pPr>
            <w:r w:rsidRPr="00883614">
              <w:rPr>
                <w:lang w:eastAsia="zh-CN"/>
              </w:rPr>
              <w:t>12</w:t>
            </w:r>
          </w:p>
        </w:tc>
      </w:tr>
    </w:tbl>
    <w:p w14:paraId="10DD56ED" w14:textId="77777777" w:rsidR="001B64F3" w:rsidRDefault="001B64F3" w:rsidP="001B64F3">
      <w:pPr>
        <w:rPr>
          <w:lang w:val="en-GB"/>
        </w:rPr>
      </w:pPr>
    </w:p>
    <w:p w14:paraId="604A4171" w14:textId="6353C628" w:rsidR="006A3D0A" w:rsidRPr="00321F1A" w:rsidRDefault="006A3D0A" w:rsidP="00321F1A">
      <w:pPr>
        <w:pStyle w:val="Caption"/>
        <w:keepNext/>
        <w:jc w:val="center"/>
        <w:rPr>
          <w:b/>
          <w:bCs/>
        </w:rPr>
      </w:pPr>
      <w:bookmarkStart w:id="13" w:name="_Ref127479862"/>
      <w:r w:rsidRPr="00321F1A">
        <w:rPr>
          <w:b/>
          <w:bCs/>
        </w:rPr>
        <w:lastRenderedPageBreak/>
        <w:t xml:space="preserve">Table </w:t>
      </w:r>
      <w:r w:rsidRPr="00321F1A">
        <w:rPr>
          <w:b/>
          <w:bCs/>
        </w:rPr>
        <w:fldChar w:fldCharType="begin"/>
      </w:r>
      <w:r w:rsidRPr="00321F1A">
        <w:rPr>
          <w:b/>
          <w:bCs/>
        </w:rPr>
        <w:instrText xml:space="preserve"> SEQ Table \* ARABIC </w:instrText>
      </w:r>
      <w:r w:rsidRPr="00321F1A">
        <w:rPr>
          <w:b/>
          <w:bCs/>
        </w:rPr>
        <w:fldChar w:fldCharType="separate"/>
      </w:r>
      <w:r w:rsidR="00EA7EC4">
        <w:rPr>
          <w:b/>
          <w:bCs/>
          <w:noProof/>
        </w:rPr>
        <w:t>4</w:t>
      </w:r>
      <w:r w:rsidRPr="00321F1A">
        <w:rPr>
          <w:b/>
          <w:bCs/>
        </w:rPr>
        <w:fldChar w:fldCharType="end"/>
      </w:r>
      <w:bookmarkEnd w:id="13"/>
      <w:r w:rsidRPr="00321F1A">
        <w:rPr>
          <w:b/>
          <w:bCs/>
        </w:rPr>
        <w:t xml:space="preserve"> </w:t>
      </w:r>
      <w:r w:rsidRPr="008B4038">
        <w:rPr>
          <w:b/>
          <w:bCs/>
          <w:sz w:val="20"/>
          <w:szCs w:val="20"/>
        </w:rPr>
        <w:t xml:space="preserve">Coverage gain using </w:t>
      </w:r>
      <w:r>
        <w:rPr>
          <w:b/>
          <w:bCs/>
          <w:sz w:val="20"/>
          <w:szCs w:val="20"/>
        </w:rPr>
        <w:t xml:space="preserve">tone </w:t>
      </w:r>
      <w:r w:rsidR="00745694">
        <w:rPr>
          <w:b/>
          <w:bCs/>
          <w:sz w:val="20"/>
          <w:szCs w:val="20"/>
        </w:rPr>
        <w:t>reservation.</w:t>
      </w:r>
    </w:p>
    <w:tbl>
      <w:tblPr>
        <w:tblW w:w="4196" w:type="pct"/>
        <w:jc w:val="center"/>
        <w:tblCellMar>
          <w:left w:w="0" w:type="dxa"/>
          <w:right w:w="0" w:type="dxa"/>
        </w:tblCellMar>
        <w:tblLook w:val="04A0" w:firstRow="1" w:lastRow="0" w:firstColumn="1" w:lastColumn="0" w:noHBand="0" w:noVBand="1"/>
      </w:tblPr>
      <w:tblGrid>
        <w:gridCol w:w="789"/>
        <w:gridCol w:w="839"/>
        <w:gridCol w:w="661"/>
        <w:gridCol w:w="1074"/>
        <w:gridCol w:w="1074"/>
        <w:gridCol w:w="475"/>
        <w:gridCol w:w="888"/>
        <w:gridCol w:w="589"/>
        <w:gridCol w:w="806"/>
        <w:gridCol w:w="643"/>
      </w:tblGrid>
      <w:tr w:rsidR="009A68CF" w:rsidRPr="00E41AA4" w14:paraId="510C017E" w14:textId="77777777" w:rsidTr="009A68CF">
        <w:trPr>
          <w:trHeight w:val="626"/>
          <w:jc w:val="center"/>
        </w:trPr>
        <w:tc>
          <w:tcPr>
            <w:tcW w:w="503"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398A722" w14:textId="564A7784"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7"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25087C4"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39"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6751776"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6"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511D89E"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4"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8AFFB91"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1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252BF2B"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9A68CF" w:rsidRPr="00E41AA4" w14:paraId="375FB633" w14:textId="77777777" w:rsidTr="009A68CF">
        <w:trPr>
          <w:trHeight w:val="1251"/>
          <w:jc w:val="center"/>
        </w:trPr>
        <w:tc>
          <w:tcPr>
            <w:tcW w:w="503"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4A21DEE" w14:textId="7B3BC06A" w:rsidR="009A68CF" w:rsidRPr="00321F1A" w:rsidRDefault="009A68CF" w:rsidP="00E41AA4">
            <w:pPr>
              <w:overflowPunct/>
              <w:autoSpaceDE/>
              <w:autoSpaceDN/>
              <w:adjustRightInd/>
              <w:spacing w:after="0"/>
              <w:jc w:val="center"/>
              <w:textAlignment w:val="auto"/>
              <w:rPr>
                <w:rFonts w:ascii="Arial" w:eastAsia="Times New Roman" w:hAnsi="Arial" w:cs="Arial"/>
              </w:rPr>
            </w:pPr>
          </w:p>
        </w:tc>
        <w:tc>
          <w:tcPr>
            <w:tcW w:w="53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A632786"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w:t>
            </w:r>
          </w:p>
        </w:tc>
        <w:tc>
          <w:tcPr>
            <w:tcW w:w="422"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8F02761"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MCS</w:t>
            </w:r>
          </w:p>
        </w:tc>
        <w:tc>
          <w:tcPr>
            <w:tcW w:w="68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239D10"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 before extension</w:t>
            </w:r>
          </w:p>
        </w:tc>
        <w:tc>
          <w:tcPr>
            <w:tcW w:w="68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14D4D25"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 after extension</w:t>
            </w:r>
          </w:p>
        </w:tc>
        <w:tc>
          <w:tcPr>
            <w:tcW w:w="30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D957894"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MCS</w:t>
            </w:r>
          </w:p>
        </w:tc>
        <w:tc>
          <w:tcPr>
            <w:tcW w:w="56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A3FB470"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Spectrum extension factor</w:t>
            </w:r>
          </w:p>
        </w:tc>
        <w:tc>
          <w:tcPr>
            <w:tcW w:w="37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8F9EB1B" w14:textId="77777777" w:rsidR="009A68CF" w:rsidRPr="00321F1A" w:rsidRDefault="009A68CF" w:rsidP="00E41AA4">
            <w:pPr>
              <w:overflowPunct/>
              <w:autoSpaceDE/>
              <w:autoSpaceDN/>
              <w:adjustRightInd/>
              <w:spacing w:after="0"/>
              <w:textAlignment w:val="auto"/>
              <w:rPr>
                <w:rFonts w:ascii="Arial" w:eastAsia="Times New Roman" w:hAnsi="Arial" w:cs="Arial"/>
              </w:rPr>
            </w:pPr>
          </w:p>
        </w:tc>
        <w:tc>
          <w:tcPr>
            <w:tcW w:w="51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6BD2A0C" w14:textId="3E51A94E" w:rsidR="009A68CF" w:rsidRPr="00321F1A" w:rsidRDefault="009A68CF" w:rsidP="00E41AA4">
            <w:pPr>
              <w:overflowPunct/>
              <w:autoSpaceDE/>
              <w:autoSpaceDN/>
              <w:adjustRightInd/>
              <w:spacing w:after="0"/>
              <w:jc w:val="center"/>
              <w:textAlignment w:val="auto"/>
              <w:rPr>
                <w:rFonts w:ascii="Arial" w:eastAsia="Times New Roman" w:hAnsi="Arial" w:cs="Arial"/>
              </w:rPr>
            </w:pPr>
          </w:p>
        </w:tc>
        <w:tc>
          <w:tcPr>
            <w:tcW w:w="41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202F3E3" w14:textId="77777777" w:rsidR="009A68CF" w:rsidRPr="00321F1A" w:rsidRDefault="009A68CF" w:rsidP="00E41AA4">
            <w:pPr>
              <w:overflowPunct/>
              <w:autoSpaceDE/>
              <w:autoSpaceDN/>
              <w:adjustRightInd/>
              <w:spacing w:after="0"/>
              <w:textAlignment w:val="auto"/>
              <w:rPr>
                <w:rFonts w:ascii="Arial" w:eastAsia="Times New Roman" w:hAnsi="Arial" w:cs="Arial"/>
              </w:rPr>
            </w:pPr>
          </w:p>
        </w:tc>
      </w:tr>
      <w:tr w:rsidR="009A68CF" w:rsidRPr="00E41AA4" w14:paraId="56F99E04"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203A2E6" w14:textId="5DD8E67B"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8D25A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1E93D5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7</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BE2569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520DCF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8C997B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8CF2DB7" w14:textId="4AB64B18"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19893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B1E49C" w14:textId="04E15B69"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9C2884" w14:textId="3D889E78"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0.9</w:t>
            </w:r>
          </w:p>
        </w:tc>
      </w:tr>
      <w:tr w:rsidR="009A68CF" w:rsidRPr="00E41AA4" w14:paraId="6A755609"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12FEEDF" w14:textId="650EF20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6EBBEAC"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CFEA84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08A4C7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28</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4A42C3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40787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9</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5B5D0F" w14:textId="4E6BC44A"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10DAF6A"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0F3A5E" w14:textId="096794E5"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1.4</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3EFF37" w14:textId="0823A308"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0.8</w:t>
            </w:r>
          </w:p>
        </w:tc>
      </w:tr>
      <w:tr w:rsidR="009A68CF" w:rsidRPr="00E41AA4" w14:paraId="02AC27E8"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27298AC" w14:textId="65C7B7F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157CC8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04F6E2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240BC4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83FD4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A97A46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68B75BD" w14:textId="39E916A2"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30977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2FBF3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0C6AA8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9A68CF" w:rsidRPr="00E41AA4" w14:paraId="2283A8F0"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183A80B" w14:textId="3E161C8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2D2650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7AD17D"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EC3880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E45F8F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D6CEAB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674E69D" w14:textId="7150E1B8"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BFEC1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6D17DD4"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DD52CDE"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r>
      <w:tr w:rsidR="009A68CF" w:rsidRPr="00E41AA4" w14:paraId="7C0A54AC"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FF4BDFB" w14:textId="46F05404"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5</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B2901E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F3ACBD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DAAD78A"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E1B9A3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3F7AB43"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71F22C" w14:textId="0CD4072E"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644ABE"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F941CD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0221D7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r>
      <w:tr w:rsidR="009A68CF" w:rsidRPr="00E41AA4" w14:paraId="40DB9C4C"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335F4CA3" w14:textId="3D242E80"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A0BD05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243C21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C79C033"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30</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5CF482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C10FCE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2C21A5A" w14:textId="3018C69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B79EE0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FAC40D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E40D6A4"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r>
      <w:tr w:rsidR="009A68CF" w:rsidRPr="00E41AA4" w14:paraId="188E3A95"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4407E7A6" w14:textId="4187130D"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7</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E4EB58D"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C97D1C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7581E0E"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A85D99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BF9AC9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45F90F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149720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A95581" w14:textId="5FF3AC9E"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0422E92" w14:textId="1F91B3A4"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1.3</w:t>
            </w:r>
          </w:p>
        </w:tc>
      </w:tr>
      <w:tr w:rsidR="009A68CF" w:rsidRPr="00E41AA4" w14:paraId="593218F9"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36A2200" w14:textId="75F2BA2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9A7127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97D6A53"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B64EA5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20</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97ECC9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07AC30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09889B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6E6C38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E73BC4" w14:textId="0126F6FA"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AEC77C9" w14:textId="2C989B8F"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9A68CF" w:rsidRPr="00E41AA4" w14:paraId="4FCF64DF"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1F4F6D3" w14:textId="7BDC619A"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9</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DADEBD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43DAC9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D12DEA4"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7F4260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C62A18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EDC3FA3" w14:textId="50993F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28250DD"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C6529D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0030B1A"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9A68CF" w:rsidRPr="00E41AA4" w14:paraId="4BDAA316"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25D969A" w14:textId="22248F13"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B6778B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24</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B90195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22821C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8A4919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24</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C72B7A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7FB90E8" w14:textId="6F919362"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8F2B9A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2C9C77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1F5DAC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1.7</w:t>
            </w:r>
          </w:p>
        </w:tc>
      </w:tr>
    </w:tbl>
    <w:p w14:paraId="3B758266" w14:textId="1E6A9CC1" w:rsidR="0033798D" w:rsidRDefault="0033798D" w:rsidP="00EE1997">
      <w:pPr>
        <w:rPr>
          <w:lang w:val="en-GB"/>
        </w:rPr>
      </w:pPr>
    </w:p>
    <w:tbl>
      <w:tblPr>
        <w:tblStyle w:val="TableGrid"/>
        <w:tblW w:w="0" w:type="auto"/>
        <w:tblLook w:val="04A0" w:firstRow="1" w:lastRow="0" w:firstColumn="1" w:lastColumn="0" w:noHBand="0" w:noVBand="1"/>
      </w:tblPr>
      <w:tblGrid>
        <w:gridCol w:w="9350"/>
      </w:tblGrid>
      <w:tr w:rsidR="00C7060E" w14:paraId="44428F69" w14:textId="77777777" w:rsidTr="008B4038">
        <w:tc>
          <w:tcPr>
            <w:tcW w:w="9350" w:type="dxa"/>
          </w:tcPr>
          <w:p w14:paraId="4CCF3574" w14:textId="58BE43B3" w:rsidR="00324581" w:rsidRPr="0090305B" w:rsidRDefault="00C7060E" w:rsidP="00321F1A">
            <w:pPr>
              <w:jc w:val="both"/>
            </w:pPr>
            <w:r w:rsidRPr="004F7173">
              <w:rPr>
                <w:b/>
                <w:bCs/>
              </w:rPr>
              <w:t>Observation</w:t>
            </w:r>
            <w:r w:rsidR="00D749E1">
              <w:rPr>
                <w:b/>
                <w:bCs/>
              </w:rPr>
              <w:t xml:space="preserve"> 5</w:t>
            </w:r>
            <w:r w:rsidRPr="004F7173">
              <w:rPr>
                <w:b/>
                <w:bCs/>
              </w:rPr>
              <w:t>:</w:t>
            </w:r>
            <w:r>
              <w:t xml:space="preserve"> </w:t>
            </w:r>
            <w:r w:rsidR="00E81128">
              <w:t xml:space="preserve">Based on the set of results </w:t>
            </w:r>
            <w:r w:rsidR="00E81128" w:rsidRPr="00BD1F86">
              <w:t>presented</w:t>
            </w:r>
            <w:r w:rsidR="00782C10" w:rsidRPr="00BD1F86">
              <w:t xml:space="preserve"> in </w:t>
            </w:r>
            <w:r w:rsidR="00BD1F86" w:rsidRPr="00BD1F86">
              <w:fldChar w:fldCharType="begin"/>
            </w:r>
            <w:r w:rsidR="00BD1F86" w:rsidRPr="00BD1F86">
              <w:instrText xml:space="preserve"> REF _Ref127479862 \h </w:instrText>
            </w:r>
            <w:r w:rsidR="00BD1F86" w:rsidRPr="00321F1A">
              <w:instrText xml:space="preserve"> \* MERGEFORMAT </w:instrText>
            </w:r>
            <w:r w:rsidR="00BD1F86" w:rsidRPr="00BD1F86">
              <w:fldChar w:fldCharType="separate"/>
            </w:r>
            <w:r w:rsidR="00EA7EC4" w:rsidRPr="00EA7EC4">
              <w:t xml:space="preserve">Table </w:t>
            </w:r>
            <w:r w:rsidR="00EA7EC4" w:rsidRPr="00EA7EC4">
              <w:rPr>
                <w:noProof/>
              </w:rPr>
              <w:t>4</w:t>
            </w:r>
            <w:r w:rsidR="00BD1F86" w:rsidRPr="00BD1F86">
              <w:fldChar w:fldCharType="end"/>
            </w:r>
            <w:r w:rsidR="00782C10">
              <w:t>, the net coverage gain due to tone reservation</w:t>
            </w:r>
            <w:r w:rsidR="008821AD">
              <w:t xml:space="preserve"> </w:t>
            </w:r>
            <w:r w:rsidR="00782C10">
              <w:t xml:space="preserve">varies from </w:t>
            </w:r>
            <w:r w:rsidR="00BE09D2">
              <w:t xml:space="preserve">0.5 to 1.5 dB for inner RB allocations. </w:t>
            </w:r>
          </w:p>
        </w:tc>
      </w:tr>
    </w:tbl>
    <w:p w14:paraId="48849B0B" w14:textId="44A56157" w:rsidR="00C7060E" w:rsidRDefault="00C7060E" w:rsidP="00C7060E">
      <w:pPr>
        <w:jc w:val="both"/>
        <w:rPr>
          <w:b/>
          <w:bCs/>
          <w:lang w:val="en-GB"/>
        </w:rPr>
      </w:pPr>
    </w:p>
    <w:p w14:paraId="17941DC0" w14:textId="08B629F5" w:rsidR="000A1603" w:rsidRPr="00321F1A" w:rsidRDefault="008821AD" w:rsidP="00C7060E">
      <w:pPr>
        <w:jc w:val="both"/>
        <w:rPr>
          <w:lang w:val="en-GB"/>
        </w:rPr>
      </w:pPr>
      <w:r w:rsidRPr="00321F1A">
        <w:rPr>
          <w:lang w:val="en-GB"/>
        </w:rPr>
        <w:t>Next, we compare the above results with the coverage gain possible using transparent techniques and assess the net value of tone reservation. The results are presented in the following table.</w:t>
      </w:r>
    </w:p>
    <w:p w14:paraId="0D97E1AD" w14:textId="77777777" w:rsidR="000A1603" w:rsidRDefault="000A1603" w:rsidP="00C7060E">
      <w:pPr>
        <w:jc w:val="both"/>
        <w:rPr>
          <w:b/>
          <w:bCs/>
          <w:lang w:val="en-GB"/>
        </w:rPr>
      </w:pPr>
    </w:p>
    <w:p w14:paraId="0EE7D226" w14:textId="7DDDF480" w:rsidR="002669D2" w:rsidRPr="00321F1A" w:rsidRDefault="002669D2"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5</w:t>
      </w:r>
      <w:r w:rsidRPr="00321F1A">
        <w:rPr>
          <w:b/>
          <w:bCs/>
          <w:color w:val="auto"/>
          <w:sz w:val="20"/>
          <w:szCs w:val="20"/>
        </w:rPr>
        <w:fldChar w:fldCharType="end"/>
      </w:r>
      <w:r w:rsidRPr="00321F1A">
        <w:rPr>
          <w:b/>
          <w:bCs/>
          <w:color w:val="auto"/>
          <w:sz w:val="20"/>
          <w:szCs w:val="20"/>
        </w:rPr>
        <w:t xml:space="preserve"> Coverage gain comparison between transparent techniques and tone reservation</w:t>
      </w:r>
    </w:p>
    <w:tbl>
      <w:tblPr>
        <w:tblW w:w="4107" w:type="pct"/>
        <w:jc w:val="center"/>
        <w:tblLayout w:type="fixed"/>
        <w:tblCellMar>
          <w:left w:w="0" w:type="dxa"/>
          <w:right w:w="0" w:type="dxa"/>
        </w:tblCellMar>
        <w:tblLook w:val="04A0" w:firstRow="1" w:lastRow="0" w:firstColumn="1" w:lastColumn="0" w:noHBand="0" w:noVBand="1"/>
      </w:tblPr>
      <w:tblGrid>
        <w:gridCol w:w="818"/>
        <w:gridCol w:w="986"/>
        <w:gridCol w:w="620"/>
        <w:gridCol w:w="987"/>
        <w:gridCol w:w="987"/>
        <w:gridCol w:w="430"/>
        <w:gridCol w:w="861"/>
        <w:gridCol w:w="999"/>
        <w:gridCol w:w="984"/>
      </w:tblGrid>
      <w:tr w:rsidR="00A17393" w:rsidRPr="00E41AA4" w14:paraId="2947BE07" w14:textId="77777777" w:rsidTr="00A17393">
        <w:trPr>
          <w:trHeight w:val="626"/>
          <w:jc w:val="center"/>
        </w:trPr>
        <w:tc>
          <w:tcPr>
            <w:tcW w:w="534"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9267AF7" w14:textId="3027E25F"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1047"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2447F919" w14:textId="77777777"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126"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82C03BA" w14:textId="77777777"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65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4B97F9FF" w14:textId="29C6CB1D"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642"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05E7631" w14:textId="4A6AD8F2"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A17393" w:rsidRPr="00E41AA4" w14:paraId="43CC0775" w14:textId="77777777" w:rsidTr="00A17393">
        <w:trPr>
          <w:trHeight w:val="1251"/>
          <w:jc w:val="center"/>
        </w:trPr>
        <w:tc>
          <w:tcPr>
            <w:tcW w:w="534"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051CE1C" w14:textId="53EEC96B"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p>
        </w:tc>
        <w:tc>
          <w:tcPr>
            <w:tcW w:w="64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D5CF186"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w:t>
            </w:r>
          </w:p>
        </w:tc>
        <w:tc>
          <w:tcPr>
            <w:tcW w:w="40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1AA63FF"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MCS</w:t>
            </w:r>
          </w:p>
        </w:tc>
        <w:tc>
          <w:tcPr>
            <w:tcW w:w="64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0CAD799"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 before extension</w:t>
            </w:r>
          </w:p>
        </w:tc>
        <w:tc>
          <w:tcPr>
            <w:tcW w:w="64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0BDD7A2"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 after extension</w:t>
            </w:r>
          </w:p>
        </w:tc>
        <w:tc>
          <w:tcPr>
            <w:tcW w:w="28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E062D87"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MCS</w:t>
            </w:r>
          </w:p>
        </w:tc>
        <w:tc>
          <w:tcPr>
            <w:tcW w:w="56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E0D7F6B"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Spectrum extension factor</w:t>
            </w:r>
          </w:p>
        </w:tc>
        <w:tc>
          <w:tcPr>
            <w:tcW w:w="65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ECA56F9" w14:textId="77777777" w:rsidR="00A17393" w:rsidRDefault="00A17393" w:rsidP="00321F1A">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TrPC</w:t>
            </w:r>
          </w:p>
          <w:p w14:paraId="56DDEA83" w14:textId="332E1664" w:rsidR="00A17393" w:rsidRPr="00321F1A" w:rsidRDefault="00A17393" w:rsidP="00321F1A">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642"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0B1A9D2" w14:textId="6BFBAF51" w:rsidR="00A17393" w:rsidRDefault="00A17393" w:rsidP="00A5367C">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w:t>
            </w:r>
          </w:p>
          <w:p w14:paraId="1A7A77BD" w14:textId="0D0667D2" w:rsidR="00A17393" w:rsidRPr="00321F1A" w:rsidRDefault="00A17393" w:rsidP="00A5367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r>
      <w:tr w:rsidR="00A17393" w:rsidRPr="00E41AA4" w14:paraId="18C78278"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546FEF4" w14:textId="388D94D7" w:rsidR="00A17393" w:rsidRPr="00E41AA4" w:rsidRDefault="00A17393" w:rsidP="00E720A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AF9C41"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F0A1346"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7</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923DF9"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14</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5602F42"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01BA7C"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B5C1A23"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 xml:space="preserve">1/8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7638A8E" w14:textId="2A93D858"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0C73B43" w14:textId="231E4AE0"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0.9</w:t>
            </w:r>
          </w:p>
        </w:tc>
      </w:tr>
      <w:tr w:rsidR="00A17393" w:rsidRPr="00E41AA4" w14:paraId="09F83C69"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8E4F043" w14:textId="04DF7274" w:rsidR="00A17393" w:rsidRPr="00E41AA4" w:rsidRDefault="00A17393" w:rsidP="00E720A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1E21CCC"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A778B83"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72FEC6A"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48D97D2"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70609C3"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9</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DB159B4"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 xml:space="preserve">1/8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7CB1C65" w14:textId="0B366E63"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60D058A" w14:textId="5C2B2ABF"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0.8</w:t>
            </w:r>
          </w:p>
        </w:tc>
      </w:tr>
      <w:tr w:rsidR="00A17393" w:rsidRPr="00E41AA4" w14:paraId="07EB3A46"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13324D9B" w14:textId="42357FD1"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BD7F56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6EE057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454CE5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7DDD1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B96A4C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D3B2FD7"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2A73FFF" w14:textId="19754314"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54EDAE6" w14:textId="429B1B0D"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1.5</w:t>
            </w:r>
          </w:p>
        </w:tc>
      </w:tr>
      <w:tr w:rsidR="00A17393" w:rsidRPr="00E41AA4" w14:paraId="38CE686C"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6273BA3" w14:textId="1375E14B"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27BC8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773DA3"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6846677"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05BAB4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37C7EBDD"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BB041E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3DDBCE6" w14:textId="2C50BF7B"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CA485F0" w14:textId="30CEA53B"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0.6</w:t>
            </w:r>
          </w:p>
        </w:tc>
      </w:tr>
      <w:tr w:rsidR="00A17393" w:rsidRPr="00E41AA4" w14:paraId="53C37331"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6188C3E2" w14:textId="2F9FAC37"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6CFAE5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85FEF0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62054A"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2719344"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A2B781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A9C7E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674E80" w14:textId="2E320A1C"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23B4CF4" w14:textId="50BA92F6"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1.2</w:t>
            </w:r>
          </w:p>
        </w:tc>
      </w:tr>
      <w:tr w:rsidR="00A17393" w:rsidRPr="00E41AA4" w14:paraId="36D12054"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C26EF81" w14:textId="55CFE003"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CBECD07"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ECC62FA"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1FDFE12"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808A592"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EC4B23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AF6FD6B"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064C63E" w14:textId="6502E8AB"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516003B" w14:textId="3BA4D79D"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0.6</w:t>
            </w:r>
          </w:p>
        </w:tc>
      </w:tr>
      <w:tr w:rsidR="00A17393" w:rsidRPr="00E41AA4" w14:paraId="49218CF0"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FD201BF" w14:textId="6133C42C" w:rsidR="00A17393" w:rsidRPr="00E41AA4" w:rsidRDefault="00A17393" w:rsidP="004955A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699BDF4"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318EAA5"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DEE8DD6"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3C43909"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9CCF67E"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7193304"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C6E1DE" w14:textId="19F9B5B6"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4D3CB14" w14:textId="516B5AC5"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1.3</w:t>
            </w:r>
          </w:p>
        </w:tc>
      </w:tr>
      <w:tr w:rsidR="00A17393" w:rsidRPr="00E41AA4" w14:paraId="4CD6FC56"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728B738" w14:textId="1BBCC5E9" w:rsidR="00A17393" w:rsidRPr="00E41AA4" w:rsidRDefault="00A17393" w:rsidP="004955A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09A5A0"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D23D37F"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275B051"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7F9CC99"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2AD3C3"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70AB2EF"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07F6586" w14:textId="3401375D"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2669255" w14:textId="1E861A53"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A17393" w:rsidRPr="00E41AA4" w14:paraId="1DA19282"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E9B4F99" w14:textId="2DB5BBB6"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749910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C4E6BED"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78F328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B9206D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6C1D1682"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F5601B"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74AE6C" w14:textId="7C5AD582"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9542B11" w14:textId="43BDCA99"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1.5</w:t>
            </w:r>
          </w:p>
        </w:tc>
      </w:tr>
      <w:tr w:rsidR="00A17393" w:rsidRPr="00E41AA4" w14:paraId="721A2C63"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A7E393A" w14:textId="7A547279"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lastRenderedPageBreak/>
              <w:t>10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766422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904DB6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A63288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916E93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EFE7825"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353D2A5"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1C4EE6A" w14:textId="070B30E4"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w:t>
            </w:r>
            <w:r>
              <w:rPr>
                <w:rFonts w:ascii="Calibri" w:eastAsia="Calibri" w:hAnsi="Calibri" w:cs="Calibri"/>
                <w:b/>
                <w:bCs/>
                <w:kern w:val="24"/>
                <w:sz w:val="22"/>
                <w:szCs w:val="22"/>
              </w:rPr>
              <w:t>.2</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AFB369F" w14:textId="535F3EA5"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1.7</w:t>
            </w:r>
          </w:p>
        </w:tc>
      </w:tr>
    </w:tbl>
    <w:p w14:paraId="223CBE0E" w14:textId="77777777" w:rsidR="00C7060E" w:rsidRDefault="00C7060E" w:rsidP="00C7060E">
      <w:pPr>
        <w:rPr>
          <w:lang w:val="en-GB"/>
        </w:rPr>
      </w:pPr>
    </w:p>
    <w:p w14:paraId="0F53D663" w14:textId="5CD7EEC3" w:rsidR="00C7060E" w:rsidRDefault="00C7060E" w:rsidP="00C7060E">
      <w:pPr>
        <w:rPr>
          <w:lang w:val="en-GB"/>
        </w:rPr>
      </w:pPr>
      <w:r>
        <w:rPr>
          <w:lang w:val="en-GB"/>
        </w:rPr>
        <w:t>Based on the above</w:t>
      </w:r>
      <w:r w:rsidR="00D16F68">
        <w:rPr>
          <w:lang w:val="en-GB"/>
        </w:rPr>
        <w:t xml:space="preserve"> comparisons</w:t>
      </w:r>
      <w:r w:rsidR="00871E26">
        <w:rPr>
          <w:lang w:val="en-GB"/>
        </w:rPr>
        <w:t>, we make the following observation:</w:t>
      </w:r>
      <w:r>
        <w:rPr>
          <w:lang w:val="en-GB"/>
        </w:rPr>
        <w:t xml:space="preserve"> </w:t>
      </w:r>
    </w:p>
    <w:tbl>
      <w:tblPr>
        <w:tblStyle w:val="TableGrid"/>
        <w:tblW w:w="0" w:type="auto"/>
        <w:tblLook w:val="04A0" w:firstRow="1" w:lastRow="0" w:firstColumn="1" w:lastColumn="0" w:noHBand="0" w:noVBand="1"/>
      </w:tblPr>
      <w:tblGrid>
        <w:gridCol w:w="9350"/>
      </w:tblGrid>
      <w:tr w:rsidR="00D16F68" w14:paraId="137F98DC" w14:textId="77777777" w:rsidTr="00D16F68">
        <w:tc>
          <w:tcPr>
            <w:tcW w:w="9350" w:type="dxa"/>
          </w:tcPr>
          <w:p w14:paraId="54672191" w14:textId="37A10929" w:rsidR="00D16F68" w:rsidRDefault="00D16F68" w:rsidP="00C7060E">
            <w:r>
              <w:rPr>
                <w:b/>
                <w:bCs/>
              </w:rPr>
              <w:t>Observation</w:t>
            </w:r>
            <w:r w:rsidR="00D749E1">
              <w:rPr>
                <w:b/>
                <w:bCs/>
              </w:rPr>
              <w:t xml:space="preserve"> 6</w:t>
            </w:r>
            <w:r>
              <w:rPr>
                <w:b/>
                <w:bCs/>
              </w:rPr>
              <w:t>:</w:t>
            </w:r>
            <w:r w:rsidR="00E1025A">
              <w:rPr>
                <w:b/>
                <w:bCs/>
              </w:rPr>
              <w:t xml:space="preserve"> </w:t>
            </w:r>
            <w:r w:rsidRPr="008B4038">
              <w:t>For inner-RB allocations, compared to transparent techniques, tone reservation brings marginal gains for certain specification allocations.</w:t>
            </w:r>
          </w:p>
        </w:tc>
      </w:tr>
    </w:tbl>
    <w:p w14:paraId="5699708F" w14:textId="15FA4FED" w:rsidR="00EE1997" w:rsidRPr="00FE1102" w:rsidRDefault="00EE1997" w:rsidP="00321F1A">
      <w:pPr>
        <w:jc w:val="both"/>
      </w:pPr>
    </w:p>
    <w:p w14:paraId="6DA6C492" w14:textId="7ACD2D83" w:rsidR="00714155" w:rsidRDefault="00714155">
      <w:pPr>
        <w:pStyle w:val="Heading2"/>
      </w:pPr>
      <w:r>
        <w:t>FDSS with bandwidth expansion for DFT-S-OFDM</w:t>
      </w:r>
    </w:p>
    <w:p w14:paraId="405C6419" w14:textId="4AB075E5" w:rsidR="00F151AB" w:rsidRDefault="001522C2" w:rsidP="00093409">
      <w:pPr>
        <w:rPr>
          <w:lang w:val="en-GB"/>
        </w:rPr>
      </w:pPr>
      <w:r>
        <w:rPr>
          <w:lang w:val="en-GB"/>
        </w:rPr>
        <w:t xml:space="preserve">In the </w:t>
      </w:r>
      <w:r w:rsidR="00180419">
        <w:rPr>
          <w:lang w:val="en-GB"/>
        </w:rPr>
        <w:t xml:space="preserve">previous </w:t>
      </w:r>
      <w:r>
        <w:rPr>
          <w:lang w:val="en-GB"/>
        </w:rPr>
        <w:t>meeting</w:t>
      </w:r>
      <w:r w:rsidR="00180419">
        <w:rPr>
          <w:lang w:val="en-GB"/>
        </w:rPr>
        <w:t>s</w:t>
      </w:r>
      <w:r>
        <w:rPr>
          <w:lang w:val="en-GB"/>
        </w:rPr>
        <w:t xml:space="preserve"> the following agreement</w:t>
      </w:r>
      <w:r w:rsidR="00736350">
        <w:rPr>
          <w:lang w:val="en-GB"/>
        </w:rPr>
        <w:t>s</w:t>
      </w:r>
      <w:r>
        <w:rPr>
          <w:lang w:val="en-GB"/>
        </w:rPr>
        <w:t xml:space="preserve"> on FDSS </w:t>
      </w:r>
      <w:r w:rsidR="00736350">
        <w:rPr>
          <w:lang w:val="en-GB"/>
        </w:rPr>
        <w:t>with BW expansion</w:t>
      </w:r>
      <w:r>
        <w:rPr>
          <w:lang w:val="en-GB"/>
        </w:rPr>
        <w:t xml:space="preserve"> were made:</w:t>
      </w:r>
    </w:p>
    <w:tbl>
      <w:tblPr>
        <w:tblStyle w:val="TableGrid"/>
        <w:tblW w:w="0" w:type="auto"/>
        <w:tblLook w:val="04A0" w:firstRow="1" w:lastRow="0" w:firstColumn="1" w:lastColumn="0" w:noHBand="0" w:noVBand="1"/>
      </w:tblPr>
      <w:tblGrid>
        <w:gridCol w:w="9350"/>
      </w:tblGrid>
      <w:tr w:rsidR="00F151AB" w14:paraId="1D0486F5" w14:textId="77777777" w:rsidTr="00F151AB">
        <w:tc>
          <w:tcPr>
            <w:tcW w:w="9350" w:type="dxa"/>
          </w:tcPr>
          <w:p w14:paraId="7E50316F" w14:textId="47AA871B" w:rsidR="0086256E" w:rsidRPr="00E92E65" w:rsidRDefault="0086256E" w:rsidP="0086256E">
            <w:pPr>
              <w:rPr>
                <w:b/>
                <w:bCs/>
                <w:u w:val="single"/>
              </w:rPr>
            </w:pPr>
            <w:r w:rsidRPr="00E92E65">
              <w:rPr>
                <w:b/>
                <w:bCs/>
                <w:u w:val="single"/>
              </w:rPr>
              <w:t>Agreements in RAN1-11</w:t>
            </w:r>
            <w:r>
              <w:rPr>
                <w:b/>
                <w:bCs/>
                <w:u w:val="single"/>
              </w:rPr>
              <w:t>2</w:t>
            </w:r>
            <w:r w:rsidRPr="00E92E65">
              <w:rPr>
                <w:b/>
                <w:bCs/>
                <w:u w:val="single"/>
              </w:rPr>
              <w:t>:</w:t>
            </w:r>
          </w:p>
          <w:p w14:paraId="71986464" w14:textId="77777777" w:rsidR="0086256E" w:rsidRDefault="0086256E" w:rsidP="00E92E65">
            <w:pPr>
              <w:overflowPunct/>
              <w:autoSpaceDE/>
              <w:autoSpaceDN/>
              <w:adjustRightInd/>
              <w:spacing w:before="120" w:after="120"/>
              <w:textAlignment w:val="auto"/>
              <w:rPr>
                <w:rFonts w:eastAsia="Batang"/>
                <w:b/>
                <w:bCs/>
                <w:color w:val="13171F"/>
                <w:kern w:val="24"/>
                <w:highlight w:val="green"/>
              </w:rPr>
            </w:pPr>
          </w:p>
          <w:p w14:paraId="06F044EE" w14:textId="12D4323F" w:rsidR="00E92E65" w:rsidRPr="00E92E65" w:rsidRDefault="00E92E65" w:rsidP="00E92E65">
            <w:pPr>
              <w:overflowPunct/>
              <w:autoSpaceDE/>
              <w:autoSpaceDN/>
              <w:adjustRightInd/>
              <w:spacing w:before="120" w:after="120"/>
              <w:textAlignment w:val="auto"/>
              <w:rPr>
                <w:rFonts w:eastAsia="Times New Roman"/>
              </w:rPr>
            </w:pPr>
            <w:r w:rsidRPr="00E92E65">
              <w:rPr>
                <w:rFonts w:eastAsia="Batang"/>
                <w:b/>
                <w:bCs/>
                <w:color w:val="13171F"/>
                <w:kern w:val="24"/>
                <w:highlight w:val="green"/>
              </w:rPr>
              <w:t>Agreement</w:t>
            </w:r>
          </w:p>
          <w:p w14:paraId="4A910FD7" w14:textId="77777777" w:rsidR="00E92E65" w:rsidRPr="00E92E65" w:rsidRDefault="00E92E65" w:rsidP="00E92E65">
            <w:pPr>
              <w:overflowPunct/>
              <w:autoSpaceDE/>
              <w:autoSpaceDN/>
              <w:adjustRightInd/>
              <w:spacing w:before="120" w:after="120"/>
              <w:textAlignment w:val="auto"/>
              <w:rPr>
                <w:rFonts w:eastAsia="Times New Roman"/>
              </w:rPr>
            </w:pPr>
            <w:r w:rsidRPr="00E92E65">
              <w:rPr>
                <w:rFonts w:eastAsia="Batang"/>
                <w:color w:val="13171F"/>
                <w:kern w:val="24"/>
              </w:rPr>
              <w:t xml:space="preserve">If FDSS-SE is supported in Rel-18, RAN1 to further study the following approaches for DMRS, when the DMRS sequence length before extension of the sequence, if any, is larger than or equal to 30: </w:t>
            </w:r>
          </w:p>
          <w:p w14:paraId="3A19797B" w14:textId="77777777" w:rsidR="00E92E65" w:rsidRPr="00E92E65" w:rsidRDefault="00E92E65" w:rsidP="004D36C0">
            <w:pPr>
              <w:numPr>
                <w:ilvl w:val="0"/>
                <w:numId w:val="50"/>
              </w:numPr>
              <w:overflowPunct/>
              <w:autoSpaceDE/>
              <w:autoSpaceDN/>
              <w:adjustRightInd/>
              <w:spacing w:after="120"/>
              <w:ind w:left="1267"/>
              <w:contextualSpacing/>
              <w:textAlignment w:val="auto"/>
              <w:rPr>
                <w:rFonts w:eastAsia="Times New Roman"/>
              </w:rPr>
            </w:pPr>
            <w:r w:rsidRPr="00E92E65">
              <w:rPr>
                <w:rFonts w:eastAsia="Batang"/>
                <w:color w:val="13171F"/>
                <w:kern w:val="24"/>
              </w:rPr>
              <w:t>Approach A – the DMRS sequence is extended: A DMRS sequence is generated considering the number of PRBs in the inband (no extension). The sequence length depends on the number of PRBs in the inband. Two sequence types can be considered:</w:t>
            </w:r>
          </w:p>
          <w:p w14:paraId="7E563D5F" w14:textId="77777777" w:rsidR="00E92E65" w:rsidRPr="00E92E65" w:rsidRDefault="00E92E65" w:rsidP="004D36C0">
            <w:pPr>
              <w:numPr>
                <w:ilvl w:val="1"/>
                <w:numId w:val="50"/>
              </w:numPr>
              <w:overflowPunct/>
              <w:autoSpaceDE/>
              <w:autoSpaceDN/>
              <w:adjustRightInd/>
              <w:spacing w:after="0"/>
              <w:ind w:left="2606"/>
              <w:contextualSpacing/>
              <w:textAlignment w:val="auto"/>
              <w:rPr>
                <w:rFonts w:eastAsia="Times New Roman"/>
              </w:rPr>
            </w:pPr>
            <w:r w:rsidRPr="00E92E65">
              <w:rPr>
                <w:rFonts w:eastAsia="Batang"/>
                <w:color w:val="13171F"/>
                <w:kern w:val="24"/>
              </w:rPr>
              <w:t>A.1: The sequence is a Type 1 DMRS sequence.</w:t>
            </w:r>
          </w:p>
          <w:p w14:paraId="4D7D4F9C" w14:textId="77777777" w:rsidR="00E92E65" w:rsidRPr="00E92E65" w:rsidRDefault="00E92E65" w:rsidP="004D36C0">
            <w:pPr>
              <w:numPr>
                <w:ilvl w:val="1"/>
                <w:numId w:val="50"/>
              </w:numPr>
              <w:overflowPunct/>
              <w:autoSpaceDE/>
              <w:autoSpaceDN/>
              <w:adjustRightInd/>
              <w:spacing w:after="0"/>
              <w:ind w:left="2606"/>
              <w:contextualSpacing/>
              <w:textAlignment w:val="auto"/>
              <w:rPr>
                <w:rFonts w:eastAsia="Times New Roman"/>
              </w:rPr>
            </w:pPr>
            <w:r w:rsidRPr="00E92E65">
              <w:rPr>
                <w:rFonts w:eastAsia="Batang"/>
                <w:color w:val="13171F"/>
                <w:kern w:val="24"/>
              </w:rPr>
              <w:t xml:space="preserve">A.2: The sequence is a Type 2 DMRS sequence. </w:t>
            </w:r>
          </w:p>
          <w:p w14:paraId="5B63F54D" w14:textId="77777777" w:rsidR="00E92E65" w:rsidRPr="00E92E65" w:rsidRDefault="00E92E65" w:rsidP="00E92E65">
            <w:pPr>
              <w:overflowPunct/>
              <w:autoSpaceDE/>
              <w:autoSpaceDN/>
              <w:adjustRightInd/>
              <w:spacing w:before="120" w:after="120"/>
              <w:ind w:left="562" w:firstLine="158"/>
              <w:textAlignment w:val="auto"/>
              <w:rPr>
                <w:rFonts w:eastAsia="Times New Roman"/>
              </w:rPr>
            </w:pPr>
            <w:r w:rsidRPr="00E92E65">
              <w:rPr>
                <w:rFonts w:eastAsia="Batang"/>
                <w:color w:val="13171F"/>
                <w:kern w:val="24"/>
              </w:rPr>
              <w:t>FFS: how the sequence is extended.</w:t>
            </w:r>
          </w:p>
          <w:p w14:paraId="24C67ED0" w14:textId="77777777" w:rsidR="00E92E65" w:rsidRPr="00E92E65" w:rsidRDefault="00E92E65" w:rsidP="004D36C0">
            <w:pPr>
              <w:numPr>
                <w:ilvl w:val="0"/>
                <w:numId w:val="51"/>
              </w:numPr>
              <w:overflowPunct/>
              <w:autoSpaceDE/>
              <w:autoSpaceDN/>
              <w:adjustRightInd/>
              <w:spacing w:after="120"/>
              <w:ind w:left="1267"/>
              <w:contextualSpacing/>
              <w:textAlignment w:val="auto"/>
              <w:rPr>
                <w:rFonts w:eastAsia="Times New Roman"/>
              </w:rPr>
            </w:pPr>
            <w:r w:rsidRPr="00E92E65">
              <w:rPr>
                <w:rFonts w:eastAsia="Batang"/>
                <w:color w:val="13171F"/>
                <w:kern w:val="24"/>
              </w:rPr>
              <w:t>Approach B – the DMRS sequence is not extended: A DMRS sequence based on type 1 or type 2 DMRS sequence is generated considering the number of PRBs in the inband + extension. The sequence length depends on the number of PRBs in the inband + extension.</w:t>
            </w:r>
          </w:p>
          <w:p w14:paraId="6DFBC45B" w14:textId="77777777" w:rsidR="00E92E65" w:rsidRPr="00E92E65" w:rsidRDefault="00E92E65" w:rsidP="00E92E65">
            <w:pPr>
              <w:overflowPunct/>
              <w:autoSpaceDE/>
              <w:autoSpaceDN/>
              <w:adjustRightInd/>
              <w:spacing w:before="120" w:after="120"/>
              <w:ind w:left="806"/>
              <w:textAlignment w:val="auto"/>
              <w:rPr>
                <w:rFonts w:eastAsia="Times New Roman"/>
              </w:rPr>
            </w:pPr>
            <w:r w:rsidRPr="00E92E65">
              <w:rPr>
                <w:rFonts w:eastAsia="Batang"/>
                <w:color w:val="13171F"/>
                <w:kern w:val="24"/>
              </w:rPr>
              <w:t>Note: if type 2 is used then both the number of PRBs in the inband and the number of PRBs in the inband+extension must be valid DFT sizes as per NR specification</w:t>
            </w:r>
          </w:p>
          <w:p w14:paraId="6EA8CC3E" w14:textId="77777777" w:rsidR="00E92E65" w:rsidRPr="00E92E65" w:rsidRDefault="00E92E65" w:rsidP="00E92E65">
            <w:pPr>
              <w:overflowPunct/>
              <w:autoSpaceDE/>
              <w:autoSpaceDN/>
              <w:adjustRightInd/>
              <w:spacing w:before="120" w:after="120"/>
              <w:textAlignment w:val="auto"/>
              <w:rPr>
                <w:rFonts w:eastAsia="Times New Roman"/>
              </w:rPr>
            </w:pPr>
            <w:r w:rsidRPr="00E92E65">
              <w:rPr>
                <w:rFonts w:eastAsia="Batang"/>
                <w:color w:val="13171F"/>
                <w:kern w:val="24"/>
              </w:rPr>
              <w:t>Performance metrics considered for the study are PAPR, CM[, and OBO] for DMRS and 10% BLER SNR for data (to measure channel estimation accuracy).</w:t>
            </w:r>
          </w:p>
          <w:p w14:paraId="3B96BFDA" w14:textId="1C2A7185" w:rsidR="00E92E65" w:rsidRDefault="00E92E65" w:rsidP="00736350"/>
          <w:p w14:paraId="2D0A506A" w14:textId="77777777" w:rsidR="00F84D85" w:rsidRPr="00F84D85" w:rsidRDefault="00F84D85" w:rsidP="00F84D85">
            <w:pPr>
              <w:overflowPunct/>
              <w:autoSpaceDE/>
              <w:autoSpaceDN/>
              <w:adjustRightInd/>
              <w:spacing w:before="120" w:after="120"/>
              <w:textAlignment w:val="auto"/>
              <w:rPr>
                <w:rFonts w:eastAsia="Times New Roman"/>
              </w:rPr>
            </w:pPr>
            <w:r w:rsidRPr="00F84D85">
              <w:rPr>
                <w:rFonts w:eastAsia="Batang"/>
                <w:b/>
                <w:bCs/>
                <w:color w:val="13171F"/>
                <w:kern w:val="24"/>
                <w:highlight w:val="green"/>
              </w:rPr>
              <w:t>Agreement</w:t>
            </w:r>
          </w:p>
          <w:p w14:paraId="7FBBCBF8" w14:textId="77777777" w:rsidR="00F84D85" w:rsidRPr="00F84D85" w:rsidRDefault="00F84D85" w:rsidP="00F84D85">
            <w:pPr>
              <w:overflowPunct/>
              <w:autoSpaceDE/>
              <w:autoSpaceDN/>
              <w:adjustRightInd/>
              <w:spacing w:before="120" w:after="120"/>
              <w:textAlignment w:val="auto"/>
              <w:rPr>
                <w:rFonts w:eastAsia="Times New Roman"/>
              </w:rPr>
            </w:pPr>
            <w:r w:rsidRPr="00F84D85">
              <w:rPr>
                <w:rFonts w:eastAsia="Batang"/>
                <w:color w:val="13171F"/>
                <w:kern w:val="24"/>
              </w:rPr>
              <w:t xml:space="preserve">If FDSS-SE is supported in Rel-18, and RB allocations resulting in DMRS sequence length smaller than 30 before extension of the sequence, if any, are supported, RAN1 to study at least the following approaches: </w:t>
            </w:r>
          </w:p>
          <w:p w14:paraId="628CE4A6" w14:textId="77777777" w:rsidR="00F84D85" w:rsidRPr="00F84D85" w:rsidRDefault="00F84D85" w:rsidP="004D36C0">
            <w:pPr>
              <w:numPr>
                <w:ilvl w:val="0"/>
                <w:numId w:val="52"/>
              </w:numPr>
              <w:overflowPunct/>
              <w:autoSpaceDE/>
              <w:autoSpaceDN/>
              <w:adjustRightInd/>
              <w:spacing w:after="120"/>
              <w:ind w:left="1267"/>
              <w:contextualSpacing/>
              <w:textAlignment w:val="auto"/>
              <w:rPr>
                <w:rFonts w:eastAsia="Times New Roman"/>
              </w:rPr>
            </w:pPr>
            <w:r w:rsidRPr="00F84D85">
              <w:rPr>
                <w:rFonts w:eastAsia="Batang"/>
                <w:color w:val="13171F"/>
                <w:kern w:val="24"/>
              </w:rPr>
              <w:t>Approach A – the DMRS sequence is extended: A DMRS sequence is generated considering the number of PRBs in the inband (no extension). The sequence length depends on the number of PRBs in the inband. Two sequence types can be considered:</w:t>
            </w:r>
          </w:p>
          <w:p w14:paraId="522CA260" w14:textId="77777777" w:rsidR="00F84D85" w:rsidRPr="00F84D85" w:rsidRDefault="00F84D85" w:rsidP="004D36C0">
            <w:pPr>
              <w:numPr>
                <w:ilvl w:val="1"/>
                <w:numId w:val="52"/>
              </w:numPr>
              <w:overflowPunct/>
              <w:autoSpaceDE/>
              <w:autoSpaceDN/>
              <w:adjustRightInd/>
              <w:spacing w:after="0"/>
              <w:ind w:left="2606"/>
              <w:contextualSpacing/>
              <w:textAlignment w:val="auto"/>
              <w:rPr>
                <w:rFonts w:eastAsia="Times New Roman"/>
              </w:rPr>
            </w:pPr>
            <w:r w:rsidRPr="00F84D85">
              <w:rPr>
                <w:rFonts w:eastAsia="Batang"/>
                <w:color w:val="13171F"/>
                <w:kern w:val="24"/>
              </w:rPr>
              <w:t xml:space="preserve">A.1: The sequence is obtained by DFT transformation of an existing DMRS sequence, e.g., Type 1 DMRS sequence. </w:t>
            </w:r>
          </w:p>
          <w:p w14:paraId="155E1033" w14:textId="77777777" w:rsidR="00F84D85" w:rsidRPr="00F84D85" w:rsidRDefault="00F84D85" w:rsidP="004D36C0">
            <w:pPr>
              <w:numPr>
                <w:ilvl w:val="1"/>
                <w:numId w:val="52"/>
              </w:numPr>
              <w:overflowPunct/>
              <w:autoSpaceDE/>
              <w:autoSpaceDN/>
              <w:adjustRightInd/>
              <w:spacing w:after="0"/>
              <w:ind w:left="2606"/>
              <w:contextualSpacing/>
              <w:textAlignment w:val="auto"/>
              <w:rPr>
                <w:rFonts w:eastAsia="Times New Roman"/>
              </w:rPr>
            </w:pPr>
            <w:r w:rsidRPr="00F84D85">
              <w:rPr>
                <w:rFonts w:eastAsia="Batang"/>
                <w:color w:val="13171F"/>
                <w:kern w:val="24"/>
              </w:rPr>
              <w:t>A.2: The sequence is a Type 1 or Type 2 DMRS sequence.</w:t>
            </w:r>
          </w:p>
          <w:p w14:paraId="54A02767" w14:textId="77777777" w:rsidR="00F84D85" w:rsidRPr="00F84D85" w:rsidRDefault="00F84D85" w:rsidP="00F84D85">
            <w:pPr>
              <w:overflowPunct/>
              <w:autoSpaceDE/>
              <w:autoSpaceDN/>
              <w:adjustRightInd/>
              <w:spacing w:before="120" w:after="120"/>
              <w:ind w:left="288" w:firstLine="288"/>
              <w:textAlignment w:val="auto"/>
              <w:rPr>
                <w:rFonts w:eastAsia="Times New Roman"/>
              </w:rPr>
            </w:pPr>
            <w:r w:rsidRPr="00F84D85">
              <w:rPr>
                <w:rFonts w:eastAsia="Batang"/>
                <w:color w:val="13171F"/>
                <w:kern w:val="24"/>
              </w:rPr>
              <w:t xml:space="preserve">   FFS: how the sequence is extended. </w:t>
            </w:r>
          </w:p>
          <w:p w14:paraId="1F148112" w14:textId="77777777" w:rsidR="00F84D85" w:rsidRPr="00F84D85" w:rsidRDefault="00F84D85" w:rsidP="004D36C0">
            <w:pPr>
              <w:numPr>
                <w:ilvl w:val="0"/>
                <w:numId w:val="53"/>
              </w:numPr>
              <w:overflowPunct/>
              <w:autoSpaceDE/>
              <w:autoSpaceDN/>
              <w:adjustRightInd/>
              <w:spacing w:after="120"/>
              <w:ind w:left="1267"/>
              <w:contextualSpacing/>
              <w:textAlignment w:val="auto"/>
              <w:rPr>
                <w:rFonts w:eastAsia="Times New Roman"/>
              </w:rPr>
            </w:pPr>
            <w:r w:rsidRPr="00F84D85">
              <w:rPr>
                <w:rFonts w:eastAsia="Batang"/>
                <w:color w:val="13171F"/>
                <w:kern w:val="24"/>
              </w:rPr>
              <w:t>Approach B – the DMRS sequence is not extended: A DMRS sequence based on type 1 or type 2 DMRS sequence is generated considering the number of PRBs in the inband + extension. The sequence length depends on the number of PRBs in the inband + extension.</w:t>
            </w:r>
          </w:p>
          <w:p w14:paraId="70A86388" w14:textId="77777777" w:rsidR="00F84D85" w:rsidRPr="00F84D85" w:rsidRDefault="00F84D85" w:rsidP="00F84D85">
            <w:pPr>
              <w:overflowPunct/>
              <w:autoSpaceDE/>
              <w:autoSpaceDN/>
              <w:adjustRightInd/>
              <w:spacing w:before="120" w:after="120"/>
              <w:ind w:left="806"/>
              <w:textAlignment w:val="auto"/>
              <w:rPr>
                <w:rFonts w:eastAsia="Times New Roman"/>
              </w:rPr>
            </w:pPr>
            <w:r w:rsidRPr="00F84D85">
              <w:rPr>
                <w:rFonts w:eastAsia="Batang"/>
                <w:color w:val="13171F"/>
                <w:kern w:val="24"/>
              </w:rPr>
              <w:t>Note: if type 2 is used then both the number of PRBs in the inband and the number of PRBs in the inband+extension must be valid DFT sizes as per NR specification</w:t>
            </w:r>
          </w:p>
          <w:p w14:paraId="06FF4A00" w14:textId="77777777" w:rsidR="00F84D85" w:rsidRPr="00F84D85" w:rsidRDefault="00F84D85" w:rsidP="00F84D85">
            <w:pPr>
              <w:overflowPunct/>
              <w:autoSpaceDE/>
              <w:autoSpaceDN/>
              <w:adjustRightInd/>
              <w:spacing w:before="120" w:after="120"/>
              <w:textAlignment w:val="auto"/>
              <w:rPr>
                <w:rFonts w:eastAsia="Times New Roman"/>
              </w:rPr>
            </w:pPr>
            <w:r w:rsidRPr="00F84D85">
              <w:rPr>
                <w:rFonts w:eastAsia="Batang"/>
                <w:color w:val="13171F"/>
                <w:kern w:val="24"/>
              </w:rPr>
              <w:t>Note:    Other sequences are not precluded for Approach A and Approach B.</w:t>
            </w:r>
          </w:p>
          <w:p w14:paraId="0AC6A391" w14:textId="0B8375CB" w:rsidR="00F84D85" w:rsidRDefault="00F84D85" w:rsidP="00F84D85">
            <w:pPr>
              <w:overflowPunct/>
              <w:autoSpaceDE/>
              <w:autoSpaceDN/>
              <w:adjustRightInd/>
              <w:spacing w:before="120" w:after="120"/>
              <w:textAlignment w:val="auto"/>
              <w:rPr>
                <w:rFonts w:eastAsia="Batang"/>
                <w:color w:val="13171F"/>
                <w:kern w:val="24"/>
              </w:rPr>
            </w:pPr>
            <w:r w:rsidRPr="00F84D85">
              <w:rPr>
                <w:rFonts w:eastAsia="Batang"/>
                <w:color w:val="13171F"/>
                <w:kern w:val="24"/>
              </w:rPr>
              <w:t>Performance metrics considered for the study are PAPR, CM [, and OBO] for DMRS and 10% BLER SNR for data (to measure channel estimation accuracy).</w:t>
            </w:r>
          </w:p>
          <w:p w14:paraId="4D4AA804" w14:textId="77777777" w:rsidR="00755A48" w:rsidRPr="00F84D85" w:rsidRDefault="00755A48" w:rsidP="00F84D85">
            <w:pPr>
              <w:overflowPunct/>
              <w:autoSpaceDE/>
              <w:autoSpaceDN/>
              <w:adjustRightInd/>
              <w:spacing w:before="120" w:after="120"/>
              <w:textAlignment w:val="auto"/>
              <w:rPr>
                <w:rFonts w:eastAsia="Times New Roman"/>
              </w:rPr>
            </w:pPr>
          </w:p>
          <w:p w14:paraId="05428BE6" w14:textId="77777777" w:rsidR="00755A48" w:rsidRPr="00755A48" w:rsidRDefault="00755A48" w:rsidP="00755A48">
            <w:pPr>
              <w:overflowPunct/>
              <w:autoSpaceDE/>
              <w:autoSpaceDN/>
              <w:adjustRightInd/>
              <w:spacing w:after="0"/>
              <w:textAlignment w:val="auto"/>
              <w:rPr>
                <w:rFonts w:eastAsia="Batang"/>
                <w:b/>
                <w:bCs/>
                <w:highlight w:val="darkYellow"/>
              </w:rPr>
            </w:pPr>
            <w:r w:rsidRPr="00755A48">
              <w:rPr>
                <w:rFonts w:eastAsia="Batang"/>
                <w:b/>
                <w:bCs/>
                <w:highlight w:val="darkYellow"/>
              </w:rPr>
              <w:lastRenderedPageBreak/>
              <w:t>Working Assumption</w:t>
            </w:r>
          </w:p>
          <w:p w14:paraId="64FDA35C" w14:textId="77777777" w:rsidR="00755A48" w:rsidRPr="00755A48" w:rsidRDefault="00755A48" w:rsidP="004D36C0">
            <w:pPr>
              <w:numPr>
                <w:ilvl w:val="0"/>
                <w:numId w:val="54"/>
              </w:numPr>
              <w:overflowPunct/>
              <w:autoSpaceDE/>
              <w:autoSpaceDN/>
              <w:adjustRightInd/>
              <w:spacing w:after="0"/>
              <w:jc w:val="both"/>
              <w:textAlignment w:val="auto"/>
              <w:rPr>
                <w:rFonts w:eastAsia="Batang"/>
              </w:rPr>
            </w:pPr>
            <w:r w:rsidRPr="00755A48">
              <w:rPr>
                <w:rFonts w:eastAsia="Batang"/>
              </w:rPr>
              <w:t>The following set of configurations is for companies’ consideration for the comparsion of the performance of DMRS with FDSS-SE.</w:t>
            </w:r>
          </w:p>
          <w:p w14:paraId="7170F216" w14:textId="77777777" w:rsidR="00755A48" w:rsidRPr="00755A48" w:rsidRDefault="00755A48" w:rsidP="00755A48">
            <w:pPr>
              <w:overflowPunct/>
              <w:autoSpaceDE/>
              <w:autoSpaceDN/>
              <w:adjustRightInd/>
              <w:spacing w:after="0"/>
              <w:ind w:left="420"/>
              <w:jc w:val="both"/>
              <w:textAlignment w:val="auto"/>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1551"/>
              <w:gridCol w:w="1032"/>
              <w:gridCol w:w="1378"/>
              <w:gridCol w:w="1353"/>
              <w:gridCol w:w="1099"/>
            </w:tblGrid>
            <w:tr w:rsidR="00755A48" w:rsidRPr="00755A48" w14:paraId="59EA7763" w14:textId="77777777" w:rsidTr="00F05159">
              <w:trPr>
                <w:trHeight w:val="220"/>
                <w:jc w:val="center"/>
              </w:trPr>
              <w:tc>
                <w:tcPr>
                  <w:tcW w:w="2504" w:type="dxa"/>
                  <w:gridSpan w:val="2"/>
                  <w:shd w:val="clear" w:color="auto" w:fill="auto"/>
                  <w:vAlign w:val="center"/>
                  <w:hideMark/>
                </w:tcPr>
                <w:p w14:paraId="150424E4"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No spectrum extension</w:t>
                  </w:r>
                </w:p>
              </w:tc>
              <w:tc>
                <w:tcPr>
                  <w:tcW w:w="4862" w:type="dxa"/>
                  <w:gridSpan w:val="4"/>
                  <w:shd w:val="clear" w:color="auto" w:fill="auto"/>
                  <w:vAlign w:val="center"/>
                  <w:hideMark/>
                </w:tcPr>
                <w:p w14:paraId="5B07EBB5"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With spectrum extension</w:t>
                  </w:r>
                </w:p>
              </w:tc>
            </w:tr>
            <w:tr w:rsidR="00755A48" w:rsidRPr="00755A48" w14:paraId="31AAF945" w14:textId="77777777" w:rsidTr="00F05159">
              <w:trPr>
                <w:trHeight w:val="827"/>
                <w:jc w:val="center"/>
              </w:trPr>
              <w:tc>
                <w:tcPr>
                  <w:tcW w:w="953" w:type="dxa"/>
                  <w:shd w:val="clear" w:color="auto" w:fill="auto"/>
                  <w:vAlign w:val="center"/>
                  <w:hideMark/>
                </w:tcPr>
                <w:p w14:paraId="12F2FBBE"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#PRBs</w:t>
                  </w:r>
                </w:p>
              </w:tc>
              <w:tc>
                <w:tcPr>
                  <w:tcW w:w="1551" w:type="dxa"/>
                  <w:shd w:val="clear" w:color="auto" w:fill="auto"/>
                  <w:vAlign w:val="center"/>
                  <w:hideMark/>
                </w:tcPr>
                <w:p w14:paraId="0EB05549"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MCS</w:t>
                  </w:r>
                </w:p>
              </w:tc>
              <w:tc>
                <w:tcPr>
                  <w:tcW w:w="1032" w:type="dxa"/>
                  <w:shd w:val="clear" w:color="auto" w:fill="auto"/>
                  <w:vAlign w:val="center"/>
                  <w:hideMark/>
                </w:tcPr>
                <w:p w14:paraId="1DC479E9"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#PRBs before extension</w:t>
                  </w:r>
                </w:p>
              </w:tc>
              <w:tc>
                <w:tcPr>
                  <w:tcW w:w="1378" w:type="dxa"/>
                  <w:shd w:val="clear" w:color="auto" w:fill="auto"/>
                  <w:vAlign w:val="center"/>
                  <w:hideMark/>
                </w:tcPr>
                <w:p w14:paraId="15858F74"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#PRBs after extension</w:t>
                  </w:r>
                </w:p>
              </w:tc>
              <w:tc>
                <w:tcPr>
                  <w:tcW w:w="1353" w:type="dxa"/>
                  <w:shd w:val="clear" w:color="auto" w:fill="auto"/>
                  <w:vAlign w:val="center"/>
                  <w:hideMark/>
                </w:tcPr>
                <w:p w14:paraId="3FDD0445"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MCS</w:t>
                  </w:r>
                </w:p>
              </w:tc>
              <w:tc>
                <w:tcPr>
                  <w:tcW w:w="1099" w:type="dxa"/>
                  <w:shd w:val="clear" w:color="auto" w:fill="auto"/>
                  <w:vAlign w:val="center"/>
                  <w:hideMark/>
                </w:tcPr>
                <w:p w14:paraId="1CF9AE93"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Spectrum extension factor</w:t>
                  </w:r>
                </w:p>
              </w:tc>
            </w:tr>
            <w:tr w:rsidR="00755A48" w:rsidRPr="00755A48" w14:paraId="3FC8A044" w14:textId="77777777" w:rsidTr="00F05159">
              <w:trPr>
                <w:trHeight w:val="416"/>
                <w:jc w:val="center"/>
              </w:trPr>
              <w:tc>
                <w:tcPr>
                  <w:tcW w:w="953" w:type="dxa"/>
                  <w:shd w:val="clear" w:color="auto" w:fill="auto"/>
                  <w:vAlign w:val="center"/>
                  <w:hideMark/>
                </w:tcPr>
                <w:p w14:paraId="0729AAEE"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551" w:type="dxa"/>
                  <w:shd w:val="clear" w:color="auto" w:fill="auto"/>
                  <w:vAlign w:val="center"/>
                  <w:hideMark/>
                </w:tcPr>
                <w:p w14:paraId="648F1E49"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 xml:space="preserve">0 </w:t>
                  </w:r>
                </w:p>
                <w:p w14:paraId="6189CEB4"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[only QPSK]</w:t>
                  </w:r>
                </w:p>
              </w:tc>
              <w:tc>
                <w:tcPr>
                  <w:tcW w:w="1032" w:type="dxa"/>
                  <w:shd w:val="clear" w:color="auto" w:fill="auto"/>
                  <w:vAlign w:val="center"/>
                  <w:hideMark/>
                </w:tcPr>
                <w:p w14:paraId="7ECBB6B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378" w:type="dxa"/>
                  <w:shd w:val="clear" w:color="auto" w:fill="auto"/>
                  <w:vAlign w:val="center"/>
                  <w:hideMark/>
                </w:tcPr>
                <w:p w14:paraId="682D76D3"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353" w:type="dxa"/>
                  <w:shd w:val="clear" w:color="auto" w:fill="auto"/>
                  <w:vAlign w:val="center"/>
                  <w:hideMark/>
                </w:tcPr>
                <w:p w14:paraId="33346FAB"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 xml:space="preserve">1 </w:t>
                  </w:r>
                </w:p>
                <w:p w14:paraId="7DACC5F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[only QPSK]</w:t>
                  </w:r>
                </w:p>
              </w:tc>
              <w:tc>
                <w:tcPr>
                  <w:tcW w:w="1099" w:type="dxa"/>
                  <w:shd w:val="clear" w:color="auto" w:fill="auto"/>
                  <w:vAlign w:val="center"/>
                  <w:hideMark/>
                </w:tcPr>
                <w:p w14:paraId="6834771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¼</w:t>
                  </w:r>
                </w:p>
              </w:tc>
            </w:tr>
            <w:tr w:rsidR="00755A48" w:rsidRPr="00755A48" w14:paraId="3D117DE9" w14:textId="77777777" w:rsidTr="00F05159">
              <w:trPr>
                <w:trHeight w:val="220"/>
                <w:jc w:val="center"/>
              </w:trPr>
              <w:tc>
                <w:tcPr>
                  <w:tcW w:w="953" w:type="dxa"/>
                  <w:shd w:val="clear" w:color="auto" w:fill="auto"/>
                  <w:vAlign w:val="center"/>
                  <w:hideMark/>
                </w:tcPr>
                <w:p w14:paraId="0EB9296C"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551" w:type="dxa"/>
                  <w:shd w:val="clear" w:color="auto" w:fill="auto"/>
                  <w:vAlign w:val="center"/>
                  <w:hideMark/>
                </w:tcPr>
                <w:p w14:paraId="7076CA1B"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032" w:type="dxa"/>
                  <w:shd w:val="clear" w:color="auto" w:fill="auto"/>
                  <w:vAlign w:val="center"/>
                  <w:hideMark/>
                </w:tcPr>
                <w:p w14:paraId="18345EA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378" w:type="dxa"/>
                  <w:shd w:val="clear" w:color="auto" w:fill="auto"/>
                  <w:vAlign w:val="center"/>
                  <w:hideMark/>
                </w:tcPr>
                <w:p w14:paraId="2C1FF56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353" w:type="dxa"/>
                  <w:shd w:val="clear" w:color="auto" w:fill="auto"/>
                  <w:vAlign w:val="center"/>
                  <w:hideMark/>
                </w:tcPr>
                <w:p w14:paraId="6117186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099" w:type="dxa"/>
                  <w:shd w:val="clear" w:color="auto" w:fill="auto"/>
                  <w:vAlign w:val="center"/>
                  <w:hideMark/>
                </w:tcPr>
                <w:p w14:paraId="4E0F53DF"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¼</w:t>
                  </w:r>
                </w:p>
              </w:tc>
            </w:tr>
            <w:tr w:rsidR="00755A48" w:rsidRPr="00755A48" w14:paraId="3D6816C2" w14:textId="77777777" w:rsidTr="00F05159">
              <w:trPr>
                <w:trHeight w:val="220"/>
                <w:jc w:val="center"/>
              </w:trPr>
              <w:tc>
                <w:tcPr>
                  <w:tcW w:w="953" w:type="dxa"/>
                  <w:shd w:val="clear" w:color="auto" w:fill="auto"/>
                  <w:vAlign w:val="center"/>
                  <w:hideMark/>
                </w:tcPr>
                <w:p w14:paraId="63181CB3"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551" w:type="dxa"/>
                  <w:shd w:val="clear" w:color="auto" w:fill="auto"/>
                  <w:vAlign w:val="center"/>
                  <w:hideMark/>
                </w:tcPr>
                <w:p w14:paraId="2F11DCB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2</w:t>
                  </w:r>
                </w:p>
              </w:tc>
              <w:tc>
                <w:tcPr>
                  <w:tcW w:w="1032" w:type="dxa"/>
                  <w:shd w:val="clear" w:color="auto" w:fill="auto"/>
                  <w:vAlign w:val="center"/>
                  <w:hideMark/>
                </w:tcPr>
                <w:p w14:paraId="5B4C27B9"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30</w:t>
                  </w:r>
                </w:p>
              </w:tc>
              <w:tc>
                <w:tcPr>
                  <w:tcW w:w="1378" w:type="dxa"/>
                  <w:shd w:val="clear" w:color="auto" w:fill="auto"/>
                  <w:vAlign w:val="center"/>
                  <w:hideMark/>
                </w:tcPr>
                <w:p w14:paraId="139CD19B"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353" w:type="dxa"/>
                  <w:shd w:val="clear" w:color="auto" w:fill="auto"/>
                  <w:vAlign w:val="center"/>
                  <w:hideMark/>
                </w:tcPr>
                <w:p w14:paraId="0221E248"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w:t>
                  </w:r>
                </w:p>
              </w:tc>
              <w:tc>
                <w:tcPr>
                  <w:tcW w:w="1099" w:type="dxa"/>
                  <w:shd w:val="clear" w:color="auto" w:fill="auto"/>
                  <w:vAlign w:val="center"/>
                  <w:hideMark/>
                </w:tcPr>
                <w:p w14:paraId="68F295C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¼</w:t>
                  </w:r>
                </w:p>
              </w:tc>
            </w:tr>
            <w:tr w:rsidR="00755A48" w:rsidRPr="00755A48" w14:paraId="2CAECFC8" w14:textId="77777777" w:rsidTr="00F05159">
              <w:trPr>
                <w:trHeight w:val="220"/>
                <w:jc w:val="center"/>
              </w:trPr>
              <w:tc>
                <w:tcPr>
                  <w:tcW w:w="953" w:type="dxa"/>
                  <w:shd w:val="clear" w:color="auto" w:fill="auto"/>
                  <w:vAlign w:val="center"/>
                </w:tcPr>
                <w:p w14:paraId="5D3DF4CE"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551" w:type="dxa"/>
                  <w:shd w:val="clear" w:color="auto" w:fill="auto"/>
                  <w:vAlign w:val="center"/>
                </w:tcPr>
                <w:p w14:paraId="2CE564FE"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032" w:type="dxa"/>
                  <w:shd w:val="clear" w:color="auto" w:fill="auto"/>
                  <w:vAlign w:val="center"/>
                </w:tcPr>
                <w:p w14:paraId="77603C29"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30</w:t>
                  </w:r>
                </w:p>
              </w:tc>
              <w:tc>
                <w:tcPr>
                  <w:tcW w:w="1378" w:type="dxa"/>
                  <w:shd w:val="clear" w:color="auto" w:fill="auto"/>
                  <w:vAlign w:val="center"/>
                </w:tcPr>
                <w:p w14:paraId="41F0F39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353" w:type="dxa"/>
                  <w:shd w:val="clear" w:color="auto" w:fill="auto"/>
                  <w:vAlign w:val="center"/>
                </w:tcPr>
                <w:p w14:paraId="53BCF97C"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099" w:type="dxa"/>
                  <w:shd w:val="clear" w:color="auto" w:fill="auto"/>
                  <w:vAlign w:val="center"/>
                </w:tcPr>
                <w:p w14:paraId="13BBF4E6"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¼</w:t>
                  </w:r>
                </w:p>
              </w:tc>
            </w:tr>
            <w:tr w:rsidR="00755A48" w:rsidRPr="00755A48" w14:paraId="1F0DCC30" w14:textId="77777777" w:rsidTr="00F05159">
              <w:trPr>
                <w:trHeight w:val="227"/>
                <w:jc w:val="center"/>
              </w:trPr>
              <w:tc>
                <w:tcPr>
                  <w:tcW w:w="953" w:type="dxa"/>
                  <w:shd w:val="clear" w:color="auto" w:fill="000000"/>
                  <w:vAlign w:val="center"/>
                </w:tcPr>
                <w:p w14:paraId="4965F649"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551" w:type="dxa"/>
                  <w:shd w:val="clear" w:color="auto" w:fill="000000"/>
                  <w:vAlign w:val="center"/>
                </w:tcPr>
                <w:p w14:paraId="67A6250F"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032" w:type="dxa"/>
                  <w:shd w:val="clear" w:color="auto" w:fill="000000"/>
                  <w:vAlign w:val="center"/>
                </w:tcPr>
                <w:p w14:paraId="6BE8A8C8"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378" w:type="dxa"/>
                  <w:shd w:val="clear" w:color="auto" w:fill="000000"/>
                  <w:vAlign w:val="center"/>
                </w:tcPr>
                <w:p w14:paraId="579FF5EB"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353" w:type="dxa"/>
                  <w:shd w:val="clear" w:color="auto" w:fill="000000"/>
                  <w:vAlign w:val="center"/>
                </w:tcPr>
                <w:p w14:paraId="2EAA1C8D"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099" w:type="dxa"/>
                  <w:shd w:val="clear" w:color="auto" w:fill="000000"/>
                  <w:vAlign w:val="center"/>
                </w:tcPr>
                <w:p w14:paraId="4F162171"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r>
            <w:tr w:rsidR="00755A48" w:rsidRPr="00755A48" w14:paraId="43E85A05" w14:textId="77777777" w:rsidTr="00F05159">
              <w:trPr>
                <w:trHeight w:val="220"/>
                <w:jc w:val="center"/>
              </w:trPr>
              <w:tc>
                <w:tcPr>
                  <w:tcW w:w="953" w:type="dxa"/>
                  <w:shd w:val="clear" w:color="auto" w:fill="auto"/>
                  <w:vAlign w:val="center"/>
                </w:tcPr>
                <w:p w14:paraId="6F5F02A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551" w:type="dxa"/>
                  <w:shd w:val="clear" w:color="auto" w:fill="auto"/>
                  <w:vAlign w:val="center"/>
                </w:tcPr>
                <w:p w14:paraId="2AF4FFB5"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w:t>
                  </w:r>
                </w:p>
              </w:tc>
              <w:tc>
                <w:tcPr>
                  <w:tcW w:w="1032" w:type="dxa"/>
                  <w:shd w:val="clear" w:color="auto" w:fill="auto"/>
                  <w:vAlign w:val="center"/>
                </w:tcPr>
                <w:p w14:paraId="14028A2A"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w:t>
                  </w:r>
                </w:p>
              </w:tc>
              <w:tc>
                <w:tcPr>
                  <w:tcW w:w="1378" w:type="dxa"/>
                  <w:shd w:val="clear" w:color="auto" w:fill="auto"/>
                  <w:vAlign w:val="center"/>
                </w:tcPr>
                <w:p w14:paraId="407B24B4"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353" w:type="dxa"/>
                  <w:shd w:val="clear" w:color="auto" w:fill="auto"/>
                  <w:vAlign w:val="center"/>
                </w:tcPr>
                <w:p w14:paraId="4F3BF71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5</w:t>
                  </w:r>
                </w:p>
              </w:tc>
              <w:tc>
                <w:tcPr>
                  <w:tcW w:w="1099" w:type="dxa"/>
                  <w:shd w:val="clear" w:color="auto" w:fill="auto"/>
                  <w:vAlign w:val="center"/>
                </w:tcPr>
                <w:p w14:paraId="4A83F8B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1/3]</w:t>
                  </w:r>
                </w:p>
              </w:tc>
            </w:tr>
            <w:tr w:rsidR="00755A48" w:rsidRPr="00755A48" w14:paraId="271039AE" w14:textId="77777777" w:rsidTr="00F05159">
              <w:trPr>
                <w:trHeight w:val="220"/>
                <w:jc w:val="center"/>
              </w:trPr>
              <w:tc>
                <w:tcPr>
                  <w:tcW w:w="953" w:type="dxa"/>
                  <w:shd w:val="clear" w:color="auto" w:fill="auto"/>
                  <w:vAlign w:val="center"/>
                </w:tcPr>
                <w:p w14:paraId="43D242B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[36</w:t>
                  </w:r>
                </w:p>
              </w:tc>
              <w:tc>
                <w:tcPr>
                  <w:tcW w:w="1551" w:type="dxa"/>
                  <w:shd w:val="clear" w:color="auto" w:fill="auto"/>
                  <w:vAlign w:val="center"/>
                </w:tcPr>
                <w:p w14:paraId="74572D1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7</w:t>
                  </w:r>
                </w:p>
              </w:tc>
              <w:tc>
                <w:tcPr>
                  <w:tcW w:w="1032" w:type="dxa"/>
                  <w:shd w:val="clear" w:color="auto" w:fill="auto"/>
                  <w:vAlign w:val="center"/>
                </w:tcPr>
                <w:p w14:paraId="4F69C2CA"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32</w:t>
                  </w:r>
                </w:p>
              </w:tc>
              <w:tc>
                <w:tcPr>
                  <w:tcW w:w="1378" w:type="dxa"/>
                  <w:shd w:val="clear" w:color="auto" w:fill="auto"/>
                  <w:vAlign w:val="center"/>
                </w:tcPr>
                <w:p w14:paraId="2762ADE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36</w:t>
                  </w:r>
                </w:p>
              </w:tc>
              <w:tc>
                <w:tcPr>
                  <w:tcW w:w="1353" w:type="dxa"/>
                  <w:shd w:val="clear" w:color="auto" w:fill="auto"/>
                  <w:vAlign w:val="center"/>
                </w:tcPr>
                <w:p w14:paraId="0FB64DB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099" w:type="dxa"/>
                  <w:shd w:val="clear" w:color="auto" w:fill="auto"/>
                  <w:vAlign w:val="center"/>
                </w:tcPr>
                <w:p w14:paraId="5FCF1973"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1/9]</w:t>
                  </w:r>
                </w:p>
              </w:tc>
            </w:tr>
          </w:tbl>
          <w:p w14:paraId="34818714"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FR1 4GHz Urban scenario is prioritized.</w:t>
            </w:r>
          </w:p>
          <w:p w14:paraId="6827CCF3" w14:textId="77777777" w:rsidR="00755A48" w:rsidRPr="00755A48" w:rsidRDefault="00755A48" w:rsidP="00755A48">
            <w:pPr>
              <w:spacing w:after="0"/>
              <w:jc w:val="both"/>
              <w:rPr>
                <w:rFonts w:eastAsia="Batang"/>
              </w:rPr>
            </w:pPr>
          </w:p>
          <w:p w14:paraId="59EE7971" w14:textId="77777777" w:rsidR="00755A48" w:rsidRPr="00755A48" w:rsidRDefault="00755A48" w:rsidP="004D36C0">
            <w:pPr>
              <w:numPr>
                <w:ilvl w:val="0"/>
                <w:numId w:val="55"/>
              </w:numPr>
              <w:overflowPunct/>
              <w:autoSpaceDE/>
              <w:autoSpaceDN/>
              <w:adjustRightInd/>
              <w:spacing w:after="0"/>
              <w:contextualSpacing/>
              <w:jc w:val="both"/>
              <w:textAlignment w:val="auto"/>
              <w:rPr>
                <w:rFonts w:eastAsia="DengXian"/>
                <w:iCs/>
                <w:lang w:eastAsia="x-none"/>
              </w:rPr>
            </w:pPr>
            <w:r w:rsidRPr="00755A48">
              <w:rPr>
                <w:rFonts w:eastAsia="Batang"/>
                <w:lang w:eastAsia="x-none"/>
              </w:rPr>
              <w:t>The following filters are for companies’ consideration for the calibration of the performance of DMRS with FDSS-SE</w:t>
            </w:r>
          </w:p>
          <w:p w14:paraId="2CB5C4DC" w14:textId="77777777" w:rsidR="00755A48" w:rsidRPr="00755A48" w:rsidRDefault="00755A48" w:rsidP="004D36C0">
            <w:pPr>
              <w:numPr>
                <w:ilvl w:val="0"/>
                <w:numId w:val="55"/>
              </w:numPr>
              <w:overflowPunct/>
              <w:autoSpaceDE/>
              <w:autoSpaceDN/>
              <w:adjustRightInd/>
              <w:spacing w:before="120" w:after="0"/>
              <w:ind w:left="840"/>
              <w:jc w:val="both"/>
              <w:textAlignment w:val="auto"/>
              <w:rPr>
                <w:rFonts w:eastAsia="DengXian"/>
                <w:iCs/>
                <w:lang w:eastAsia="x-none"/>
              </w:rPr>
            </w:pPr>
            <w:r w:rsidRPr="00755A48">
              <w:rPr>
                <w:rFonts w:eastAsia="Batang"/>
                <w:lang w:eastAsia="x-none"/>
              </w:rPr>
              <w:t xml:space="preserve"> </w:t>
            </w:r>
            <w:r w:rsidRPr="00755A48">
              <w:rPr>
                <w:rFonts w:eastAsia="DengXian"/>
                <w:iCs/>
                <w:lang w:eastAsia="x-none"/>
              </w:rPr>
              <w:t>3-tap (0.28 1 0.28)</w:t>
            </w:r>
            <w:r w:rsidRPr="00755A48">
              <w:rPr>
                <w:rFonts w:eastAsia="DengXian"/>
                <w:iCs/>
                <w:color w:val="FF0000"/>
                <w:lang w:eastAsia="x-none"/>
              </w:rPr>
              <w:t xml:space="preserve"> </w:t>
            </w:r>
          </w:p>
          <w:p w14:paraId="544DF979" w14:textId="77777777" w:rsidR="00755A48" w:rsidRPr="00755A48" w:rsidRDefault="00755A48" w:rsidP="004D36C0">
            <w:pPr>
              <w:numPr>
                <w:ilvl w:val="0"/>
                <w:numId w:val="55"/>
              </w:numPr>
              <w:overflowPunct/>
              <w:autoSpaceDE/>
              <w:autoSpaceDN/>
              <w:adjustRightInd/>
              <w:spacing w:before="120" w:after="0"/>
              <w:ind w:left="840"/>
              <w:jc w:val="both"/>
              <w:textAlignment w:val="auto"/>
              <w:rPr>
                <w:rFonts w:eastAsia="DengXian"/>
                <w:iCs/>
                <w:lang w:eastAsia="x-none"/>
              </w:rPr>
            </w:pPr>
            <w:r w:rsidRPr="00755A48">
              <w:rPr>
                <w:rFonts w:eastAsia="DengXian"/>
                <w:iCs/>
                <w:lang w:eastAsia="x-none"/>
              </w:rPr>
              <w:t xml:space="preserve">[Truncated RRC (0.5, 0.1667) or 2-tap (1 0.28)]  </w:t>
            </w:r>
          </w:p>
          <w:p w14:paraId="4E6870B8"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Note1: Considered metrics are PAPR/CM, 10% BLER SNR of data for the considered DMRS configuration (for measuring impact of channel estimation accuracy)[, and OBO]</w:t>
            </w:r>
          </w:p>
          <w:p w14:paraId="17B933EA"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Note2: companies are encouraged to consider a receiver which at least makes use of the extension for the decoding (e.g., MRC)</w:t>
            </w:r>
          </w:p>
          <w:p w14:paraId="37094F28"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 xml:space="preserve">Note3: The values above serve as a common basis, but any other configuration can be studied by companies. </w:t>
            </w:r>
          </w:p>
          <w:p w14:paraId="2351BFE1" w14:textId="77777777" w:rsidR="00F84D85" w:rsidRPr="00E92E65" w:rsidRDefault="00F84D85" w:rsidP="00736350"/>
          <w:p w14:paraId="4ECBF470" w14:textId="77777777" w:rsidR="00E92E65" w:rsidRDefault="00E92E65" w:rsidP="00736350">
            <w:pPr>
              <w:rPr>
                <w:b/>
                <w:bCs/>
                <w:u w:val="single"/>
              </w:rPr>
            </w:pPr>
          </w:p>
          <w:p w14:paraId="702FFF41" w14:textId="214AD4A1" w:rsidR="00E92E65" w:rsidRPr="00E92E65" w:rsidRDefault="00E92E65" w:rsidP="00736350">
            <w:pPr>
              <w:rPr>
                <w:b/>
                <w:bCs/>
                <w:u w:val="single"/>
              </w:rPr>
            </w:pPr>
            <w:r w:rsidRPr="00E92E65">
              <w:rPr>
                <w:b/>
                <w:bCs/>
                <w:u w:val="single"/>
              </w:rPr>
              <w:t>Agreements in RAN1-111:</w:t>
            </w:r>
          </w:p>
          <w:p w14:paraId="73718D99" w14:textId="1B503C8F" w:rsidR="00736350" w:rsidRPr="00736350" w:rsidRDefault="00736350" w:rsidP="00736350">
            <w:r w:rsidRPr="00321F1A">
              <w:rPr>
                <w:b/>
                <w:bCs/>
                <w:highlight w:val="green"/>
              </w:rPr>
              <w:t>Agreement</w:t>
            </w:r>
          </w:p>
          <w:p w14:paraId="66522DFA" w14:textId="77777777" w:rsidR="00736350" w:rsidRPr="00736350" w:rsidRDefault="00736350" w:rsidP="004D36C0">
            <w:pPr>
              <w:numPr>
                <w:ilvl w:val="0"/>
                <w:numId w:val="36"/>
              </w:numPr>
            </w:pPr>
            <w:r w:rsidRPr="00736350">
              <w:t xml:space="preserve">For RAN1 link-level performance evaluation of MPR/PAR reduction solutions involving the use of Tx </w:t>
            </w:r>
            <w:r w:rsidRPr="00736350">
              <w:rPr>
                <w:u w:val="single"/>
              </w:rPr>
              <w:t>spectrum shaping</w:t>
            </w:r>
            <w:r w:rsidRPr="00736350">
              <w:t xml:space="preserve"> filter, companies are encouraged to use at least the following spectrum shaping filter configuration for calibration purpose:</w:t>
            </w:r>
          </w:p>
          <w:p w14:paraId="79BAB259" w14:textId="77777777" w:rsidR="00736350" w:rsidRPr="00736350" w:rsidRDefault="00736350" w:rsidP="004D36C0">
            <w:pPr>
              <w:numPr>
                <w:ilvl w:val="0"/>
                <w:numId w:val="37"/>
              </w:numPr>
            </w:pPr>
            <w:r w:rsidRPr="00736350">
              <w:rPr>
                <w:u w:val="single"/>
              </w:rPr>
              <w:t xml:space="preserve">2-tap, e.g., </w:t>
            </w:r>
            <w:r w:rsidRPr="00736350">
              <w:t>(1 0.28), 3-tap, e.g., (0.335 1 0.335)</w:t>
            </w:r>
            <w:r w:rsidRPr="00736350">
              <w:rPr>
                <w:u w:val="single"/>
              </w:rPr>
              <w:t xml:space="preserve">, </w:t>
            </w:r>
            <w:r w:rsidRPr="00736350">
              <w:t xml:space="preserve">and (0.28 1 0.28) </w:t>
            </w:r>
          </w:p>
          <w:p w14:paraId="0A58FB11" w14:textId="77777777" w:rsidR="00736350" w:rsidRPr="00736350" w:rsidRDefault="00736350" w:rsidP="004D36C0">
            <w:pPr>
              <w:numPr>
                <w:ilvl w:val="0"/>
                <w:numId w:val="37"/>
              </w:numPr>
            </w:pPr>
            <w:r w:rsidRPr="00736350">
              <w:t xml:space="preserve">Truncated RRC (0.5, 0.1667)  </w:t>
            </w:r>
          </w:p>
          <w:p w14:paraId="12A48309" w14:textId="77777777" w:rsidR="00736350" w:rsidRPr="00736350" w:rsidRDefault="00736350" w:rsidP="004D36C0">
            <w:pPr>
              <w:numPr>
                <w:ilvl w:val="0"/>
                <w:numId w:val="38"/>
              </w:numPr>
            </w:pPr>
            <w:r w:rsidRPr="00736350">
              <w:t xml:space="preserve">There is no restriction to use other spectrum shaping filter coefficients in simulations, e.g., [1 0.28]. </w:t>
            </w:r>
          </w:p>
          <w:p w14:paraId="4C43AB2A" w14:textId="77777777" w:rsidR="00736350" w:rsidRPr="00736350" w:rsidRDefault="00736350" w:rsidP="004D36C0">
            <w:pPr>
              <w:numPr>
                <w:ilvl w:val="0"/>
                <w:numId w:val="38"/>
              </w:numPr>
            </w:pPr>
            <w:r w:rsidRPr="00736350">
              <w:t>Note: the above does not have spec impact.</w:t>
            </w:r>
          </w:p>
          <w:p w14:paraId="5B0A3B41" w14:textId="77777777" w:rsidR="00736350" w:rsidRPr="00736350" w:rsidRDefault="00736350" w:rsidP="00736350">
            <w:r w:rsidRPr="00321F1A">
              <w:rPr>
                <w:b/>
                <w:bCs/>
                <w:highlight w:val="green"/>
              </w:rPr>
              <w:t>Agreement</w:t>
            </w:r>
          </w:p>
          <w:p w14:paraId="32901404" w14:textId="77777777" w:rsidR="00736350" w:rsidRPr="00736350" w:rsidRDefault="00736350" w:rsidP="004D36C0">
            <w:pPr>
              <w:numPr>
                <w:ilvl w:val="0"/>
                <w:numId w:val="39"/>
              </w:numPr>
            </w:pPr>
            <w:r w:rsidRPr="00736350">
              <w:t>The following non-transparent solutions for MPR/PAR reduction are currently under discussion in RAN1.</w:t>
            </w:r>
          </w:p>
          <w:p w14:paraId="5C5CAA67" w14:textId="77777777" w:rsidR="00736350" w:rsidRPr="00736350" w:rsidRDefault="00736350" w:rsidP="004D36C0">
            <w:pPr>
              <w:numPr>
                <w:ilvl w:val="0"/>
                <w:numId w:val="40"/>
              </w:numPr>
              <w:tabs>
                <w:tab w:val="left" w:pos="720"/>
              </w:tabs>
            </w:pPr>
            <w:r w:rsidRPr="00736350">
              <w:t>Frequency domain spectrum shaping w/ spectrum extension</w:t>
            </w:r>
          </w:p>
          <w:p w14:paraId="6A022029" w14:textId="77777777" w:rsidR="00736350" w:rsidRPr="00736350" w:rsidRDefault="00736350" w:rsidP="004D36C0">
            <w:pPr>
              <w:numPr>
                <w:ilvl w:val="0"/>
                <w:numId w:val="40"/>
              </w:numPr>
              <w:tabs>
                <w:tab w:val="left" w:pos="720"/>
              </w:tabs>
            </w:pPr>
            <w:r w:rsidRPr="00736350">
              <w:t>Tone reservation w/ spectrum extension</w:t>
            </w:r>
          </w:p>
          <w:p w14:paraId="6E98B090" w14:textId="70A2173E" w:rsidR="00736350" w:rsidRDefault="00736350" w:rsidP="004D36C0">
            <w:pPr>
              <w:numPr>
                <w:ilvl w:val="0"/>
                <w:numId w:val="41"/>
              </w:numPr>
            </w:pPr>
            <w:r w:rsidRPr="00736350">
              <w:t xml:space="preserve">In addition, transparent schemes, for instance but not limited to frequency domain spectrum shaping w/o spectrum extension or schemes based on clipping and filtering, are also being evaluated to serve as a </w:t>
            </w:r>
            <w:r w:rsidRPr="00736350">
              <w:lastRenderedPageBreak/>
              <w:t>benchmark to assess the benefits of non-transparent solutions. Companies are allowed to use any transparent transmission scheme of their choice.</w:t>
            </w:r>
          </w:p>
          <w:p w14:paraId="50EF7E21" w14:textId="77777777" w:rsidR="00736350" w:rsidRPr="00736350" w:rsidRDefault="00736350" w:rsidP="00736350">
            <w:pPr>
              <w:rPr>
                <w:lang w:val="en-US"/>
              </w:rPr>
            </w:pPr>
            <w:r w:rsidRPr="00321F1A">
              <w:rPr>
                <w:highlight w:val="green"/>
              </w:rPr>
              <w:t>Agreement</w:t>
            </w:r>
          </w:p>
          <w:p w14:paraId="0EC68EE9" w14:textId="77777777" w:rsidR="00736350" w:rsidRPr="00736350" w:rsidRDefault="00736350" w:rsidP="004D36C0">
            <w:pPr>
              <w:numPr>
                <w:ilvl w:val="0"/>
                <w:numId w:val="42"/>
              </w:numPr>
              <w:rPr>
                <w:lang w:val="en-US"/>
              </w:rPr>
            </w:pPr>
            <w:r w:rsidRPr="00736350">
              <w:rPr>
                <w:lang w:val="en-US"/>
              </w:rPr>
              <w:t>At least the symmetric spectrum extension option for frequency domain spectrum shaping with spectrum extension (FDSS-SE), are considered for studying MPR/PAR reduction enhancements in Rel-18.</w:t>
            </w:r>
          </w:p>
          <w:p w14:paraId="726528BA" w14:textId="77777777" w:rsidR="00736350" w:rsidRPr="00736350" w:rsidRDefault="00736350" w:rsidP="00736350">
            <w:pPr>
              <w:rPr>
                <w:lang w:val="en-US"/>
              </w:rPr>
            </w:pPr>
            <w:r w:rsidRPr="00321F1A">
              <w:rPr>
                <w:b/>
                <w:bCs/>
                <w:highlight w:val="green"/>
              </w:rPr>
              <w:t>Conclusion</w:t>
            </w:r>
            <w:r w:rsidRPr="00736350">
              <w:rPr>
                <w:b/>
                <w:bCs/>
                <w:lang w:val="en-US"/>
              </w:rPr>
              <w:t xml:space="preserve"> </w:t>
            </w:r>
          </w:p>
          <w:p w14:paraId="2DD86E98" w14:textId="77777777" w:rsidR="00736350" w:rsidRPr="00736350" w:rsidRDefault="00736350" w:rsidP="004D36C0">
            <w:pPr>
              <w:numPr>
                <w:ilvl w:val="0"/>
                <w:numId w:val="43"/>
              </w:numPr>
              <w:rPr>
                <w:lang w:val="en-US"/>
              </w:rPr>
            </w:pPr>
            <w:r w:rsidRPr="00736350">
              <w:rPr>
                <w:lang w:val="en-US"/>
              </w:rPr>
              <w:t>It is RAN1 understanding that:</w:t>
            </w:r>
          </w:p>
          <w:p w14:paraId="63177CFB" w14:textId="77777777" w:rsidR="00736350" w:rsidRPr="00736350" w:rsidRDefault="00736350" w:rsidP="004D36C0">
            <w:pPr>
              <w:numPr>
                <w:ilvl w:val="1"/>
                <w:numId w:val="43"/>
              </w:numPr>
              <w:rPr>
                <w:lang w:val="en-US"/>
              </w:rPr>
            </w:pPr>
            <w:r w:rsidRPr="00736350">
              <w:rPr>
                <w:lang w:val="en-US"/>
              </w:rPr>
              <w:t>Performance comparison based on net gain results combining transmitter and receiver performance is performed by RAN4.</w:t>
            </w:r>
          </w:p>
          <w:p w14:paraId="17229921" w14:textId="77777777" w:rsidR="00736350" w:rsidRPr="00736350" w:rsidRDefault="00736350" w:rsidP="004D36C0">
            <w:pPr>
              <w:numPr>
                <w:ilvl w:val="1"/>
                <w:numId w:val="43"/>
              </w:numPr>
              <w:rPr>
                <w:lang w:val="en-US"/>
              </w:rPr>
            </w:pPr>
            <w:r w:rsidRPr="00736350">
              <w:rPr>
                <w:lang w:val="en-US"/>
              </w:rPr>
              <w:t>No final decision would be taken by RAN1 on which MPR/PAR reduction solution, will be specified in Rel-18, if any, since this is RAN4’s responsibility.</w:t>
            </w:r>
          </w:p>
          <w:p w14:paraId="255948B4" w14:textId="77777777" w:rsidR="00736350" w:rsidRPr="00736350" w:rsidRDefault="00736350" w:rsidP="004D36C0">
            <w:pPr>
              <w:numPr>
                <w:ilvl w:val="0"/>
                <w:numId w:val="44"/>
              </w:numPr>
              <w:rPr>
                <w:lang w:val="en-US"/>
              </w:rPr>
            </w:pPr>
            <w:r w:rsidRPr="00736350">
              <w:rPr>
                <w:lang w:val="en-US"/>
              </w:rPr>
              <w:t>It does not preclude RAN1 specification impact</w:t>
            </w:r>
          </w:p>
          <w:p w14:paraId="2E2D04FD" w14:textId="77777777" w:rsidR="00736350" w:rsidRPr="00736350" w:rsidRDefault="00736350" w:rsidP="00736350">
            <w:pPr>
              <w:rPr>
                <w:lang w:val="en-US"/>
              </w:rPr>
            </w:pPr>
            <w:r w:rsidRPr="00321F1A">
              <w:rPr>
                <w:b/>
                <w:bCs/>
                <w:highlight w:val="green"/>
              </w:rPr>
              <w:t>Agreement</w:t>
            </w:r>
          </w:p>
          <w:p w14:paraId="10252CD0" w14:textId="77777777" w:rsidR="00736350" w:rsidRPr="00736350" w:rsidRDefault="00736350" w:rsidP="004D36C0">
            <w:pPr>
              <w:numPr>
                <w:ilvl w:val="0"/>
                <w:numId w:val="45"/>
              </w:numPr>
              <w:rPr>
                <w:lang w:val="en-US"/>
              </w:rPr>
            </w:pPr>
            <w:r w:rsidRPr="00736350">
              <w:rPr>
                <w:lang w:val="en-US"/>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156291A6" w14:textId="77777777" w:rsidR="00736350" w:rsidRPr="00736350" w:rsidRDefault="00736350" w:rsidP="00321F1A"/>
          <w:p w14:paraId="4797E3B3" w14:textId="3F304DC2" w:rsidR="00736350" w:rsidRPr="00736350" w:rsidRDefault="00736350" w:rsidP="00736350">
            <w:pPr>
              <w:rPr>
                <w:lang w:val="en-US"/>
              </w:rPr>
            </w:pPr>
            <w:r w:rsidRPr="00321F1A">
              <w:rPr>
                <w:b/>
                <w:bCs/>
                <w:highlight w:val="green"/>
              </w:rPr>
              <w:t>Agreement</w:t>
            </w:r>
          </w:p>
          <w:p w14:paraId="29071B07" w14:textId="77777777" w:rsidR="00736350" w:rsidRPr="00736350" w:rsidRDefault="00736350" w:rsidP="004D36C0">
            <w:pPr>
              <w:numPr>
                <w:ilvl w:val="0"/>
                <w:numId w:val="35"/>
              </w:numPr>
              <w:rPr>
                <w:lang w:val="en-US"/>
              </w:rPr>
            </w:pPr>
            <w:r w:rsidRPr="00736350">
              <w:rPr>
                <w:lang w:val="en-US"/>
              </w:rPr>
              <w:t>Study the PAPR/CM[/OBO] of DMRS with FDSS-SE, e.g., the following solutions:</w:t>
            </w:r>
          </w:p>
          <w:p w14:paraId="10A49C95" w14:textId="77777777" w:rsidR="00736350" w:rsidRPr="00736350" w:rsidRDefault="00736350" w:rsidP="004D36C0">
            <w:pPr>
              <w:numPr>
                <w:ilvl w:val="1"/>
                <w:numId w:val="35"/>
              </w:numPr>
              <w:rPr>
                <w:lang w:val="en-US"/>
              </w:rPr>
            </w:pPr>
            <w:r w:rsidRPr="00736350">
              <w:rPr>
                <w:lang w:val="en-US"/>
              </w:rPr>
              <w:t>Option 1 - Based on low PAPR Type 1 DMRS sequence:</w:t>
            </w:r>
          </w:p>
          <w:p w14:paraId="1617CD15" w14:textId="77777777" w:rsidR="00736350" w:rsidRPr="00736350" w:rsidRDefault="00736350" w:rsidP="004D36C0">
            <w:pPr>
              <w:numPr>
                <w:ilvl w:val="2"/>
                <w:numId w:val="35"/>
              </w:numPr>
              <w:rPr>
                <w:lang w:val="en-US"/>
              </w:rPr>
            </w:pPr>
            <w:r w:rsidRPr="00736350">
              <w:rPr>
                <w:lang w:val="en-US"/>
              </w:rPr>
              <w:t>1-a:  A DMRS sequence is generated considering the number of PRBs in the inband + extension. The sequence length depends on the number of PRBs in the inband + extension.</w:t>
            </w:r>
          </w:p>
          <w:p w14:paraId="2A236703" w14:textId="77777777" w:rsidR="00736350" w:rsidRPr="00736350" w:rsidRDefault="00736350" w:rsidP="004D36C0">
            <w:pPr>
              <w:numPr>
                <w:ilvl w:val="2"/>
                <w:numId w:val="35"/>
              </w:numPr>
              <w:rPr>
                <w:lang w:val="en-US"/>
              </w:rPr>
            </w:pPr>
            <w:r w:rsidRPr="00736350">
              <w:rPr>
                <w:lang w:val="en-US"/>
              </w:rPr>
              <w:t>1-b A DMRS sequence is generated considering the number of PRBs in the inband (no extension). The sequence length depends on the number of PRBs in the inband. The sequence is then cyclically extended to span the PRBs in the extension.</w:t>
            </w:r>
          </w:p>
          <w:p w14:paraId="2B33A366" w14:textId="77777777" w:rsidR="00736350" w:rsidRPr="00736350" w:rsidRDefault="00736350" w:rsidP="004D36C0">
            <w:pPr>
              <w:numPr>
                <w:ilvl w:val="2"/>
                <w:numId w:val="35"/>
              </w:numPr>
              <w:rPr>
                <w:lang w:val="en-US"/>
              </w:rPr>
            </w:pPr>
            <w:r w:rsidRPr="00736350">
              <w:rPr>
                <w:lang w:val="en-US"/>
              </w:rPr>
              <w:t>1-c A DMRS sequence is generated considering the number of PRBs in the inband (no extension). The sequence length depends on the number of PRBs in the inband. DMRS extension is applied similar to data to span the PRBs in the extension.</w:t>
            </w:r>
          </w:p>
          <w:p w14:paraId="77105A91" w14:textId="77777777" w:rsidR="00736350" w:rsidRPr="00736350" w:rsidRDefault="00736350" w:rsidP="004D36C0">
            <w:pPr>
              <w:numPr>
                <w:ilvl w:val="2"/>
                <w:numId w:val="35"/>
              </w:numPr>
              <w:rPr>
                <w:lang w:val="en-US"/>
              </w:rPr>
            </w:pPr>
            <w:r w:rsidRPr="00736350">
              <w:rPr>
                <w:lang w:val="en-US"/>
              </w:rPr>
              <w:t>Option 2 - Based on low PAPR type 2 DMRS sequence</w:t>
            </w:r>
          </w:p>
          <w:p w14:paraId="496F56B3" w14:textId="77777777" w:rsidR="00736350" w:rsidRPr="00736350" w:rsidRDefault="00736350" w:rsidP="004D36C0">
            <w:pPr>
              <w:numPr>
                <w:ilvl w:val="2"/>
                <w:numId w:val="35"/>
              </w:numPr>
              <w:rPr>
                <w:lang w:val="en-US"/>
              </w:rPr>
            </w:pPr>
            <w:r w:rsidRPr="00736350">
              <w:rPr>
                <w:lang w:val="en-US"/>
              </w:rPr>
              <w:t>Variances like those of Option 1 can be referred</w:t>
            </w:r>
          </w:p>
          <w:p w14:paraId="4F5DEBC4" w14:textId="77777777" w:rsidR="00736350" w:rsidRPr="00736350" w:rsidRDefault="00736350" w:rsidP="004D36C0">
            <w:pPr>
              <w:numPr>
                <w:ilvl w:val="1"/>
                <w:numId w:val="35"/>
              </w:numPr>
              <w:rPr>
                <w:lang w:val="en-US"/>
              </w:rPr>
            </w:pPr>
            <w:r w:rsidRPr="00736350">
              <w:rPr>
                <w:lang w:val="en-US"/>
              </w:rPr>
              <w:t>Option 3 – For in-band DMRS lengths 6/12/18/24 symbols, DMRS sequence is obtained by DFT transformation of low PAPR sequence type 1. Then the sequence is extended to span the PRBs in the extension in the same way as data extension.</w:t>
            </w:r>
          </w:p>
          <w:p w14:paraId="612A96C4" w14:textId="77777777" w:rsidR="00736350" w:rsidRPr="00736350" w:rsidRDefault="00736350" w:rsidP="004D36C0">
            <w:pPr>
              <w:numPr>
                <w:ilvl w:val="0"/>
                <w:numId w:val="35"/>
              </w:numPr>
              <w:rPr>
                <w:lang w:val="en-US"/>
              </w:rPr>
            </w:pPr>
            <w:r w:rsidRPr="00736350">
              <w:rPr>
                <w:lang w:val="en-US"/>
              </w:rPr>
              <w:t>Note: Other solutions can be studied. Comparison with the three solutions above is encouraged. Sequence with different density between in-band and extension can be studied</w:t>
            </w:r>
          </w:p>
          <w:p w14:paraId="1D0E444F" w14:textId="77777777" w:rsidR="00736350" w:rsidRDefault="00736350" w:rsidP="00321F1A"/>
          <w:p w14:paraId="44D781D3" w14:textId="77777777" w:rsidR="00736350" w:rsidRDefault="00736350" w:rsidP="00053B58">
            <w:pPr>
              <w:jc w:val="center"/>
            </w:pPr>
          </w:p>
          <w:p w14:paraId="72680E96" w14:textId="380221CD" w:rsidR="00F151AB" w:rsidRDefault="00F151AB" w:rsidP="00321F1A">
            <w:pPr>
              <w:jc w:val="center"/>
            </w:pPr>
            <w:r w:rsidRPr="00F151AB">
              <w:rPr>
                <w:noProof/>
              </w:rPr>
              <w:lastRenderedPageBreak/>
              <w:drawing>
                <wp:inline distT="0" distB="0" distL="0" distR="0" wp14:anchorId="242A5453" wp14:editId="708D47D5">
                  <wp:extent cx="4751407" cy="3458476"/>
                  <wp:effectExtent l="0" t="0" r="0" b="8890"/>
                  <wp:docPr id="58" name="Picture 58">
                    <a:extLst xmlns:a="http://schemas.openxmlformats.org/drawingml/2006/main">
                      <a:ext uri="{FF2B5EF4-FFF2-40B4-BE49-F238E27FC236}">
                        <a16:creationId xmlns:a16="http://schemas.microsoft.com/office/drawing/2014/main" id="{8A19E6B8-4B93-3FA7-E856-9DC0D150654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A19E6B8-4B93-3FA7-E856-9DC0D1506547}"/>
                              </a:ext>
                            </a:extLst>
                          </pic:cNvPr>
                          <pic:cNvPicPr>
                            <a:picLocks noGrp="1" noChangeAspect="1"/>
                          </pic:cNvPicPr>
                        </pic:nvPicPr>
                        <pic:blipFill>
                          <a:blip r:embed="rId23"/>
                          <a:stretch>
                            <a:fillRect/>
                          </a:stretch>
                        </pic:blipFill>
                        <pic:spPr>
                          <a:xfrm>
                            <a:off x="0" y="0"/>
                            <a:ext cx="4763760" cy="3467468"/>
                          </a:xfrm>
                          <a:prstGeom prst="rect">
                            <a:avLst/>
                          </a:prstGeom>
                        </pic:spPr>
                      </pic:pic>
                    </a:graphicData>
                  </a:graphic>
                </wp:inline>
              </w:drawing>
            </w:r>
          </w:p>
        </w:tc>
      </w:tr>
    </w:tbl>
    <w:p w14:paraId="40A77119" w14:textId="77777777" w:rsidR="00F151AB" w:rsidRDefault="00F151AB" w:rsidP="00093409">
      <w:pPr>
        <w:rPr>
          <w:lang w:val="en-GB"/>
        </w:rPr>
      </w:pPr>
    </w:p>
    <w:p w14:paraId="5B0EF013" w14:textId="7055785B" w:rsidR="00E92E8F" w:rsidRDefault="00E92E8F" w:rsidP="00E92E8F">
      <w:pPr>
        <w:rPr>
          <w:lang w:val="en-GB"/>
        </w:rPr>
      </w:pPr>
      <w:r>
        <w:rPr>
          <w:lang w:val="en-GB"/>
        </w:rPr>
        <w:t xml:space="preserve">In the following sections we discuss the basics of FDSS with bandwidth expansion and then present results on </w:t>
      </w:r>
      <w:r w:rsidR="00185EF7">
        <w:rPr>
          <w:lang w:val="en-GB"/>
        </w:rPr>
        <w:t>net coverage gains</w:t>
      </w:r>
      <w:r>
        <w:rPr>
          <w:lang w:val="en-GB"/>
        </w:rPr>
        <w:t xml:space="preserve"> using FDSS.</w:t>
      </w:r>
    </w:p>
    <w:p w14:paraId="76BC681F" w14:textId="1FE2B335" w:rsidR="00E92E8F" w:rsidRPr="00321F1A" w:rsidRDefault="00E92E8F" w:rsidP="00321F1A">
      <w:pPr>
        <w:pStyle w:val="Heading3"/>
      </w:pPr>
      <w:r>
        <w:t xml:space="preserve">Basics of FDSS </w:t>
      </w:r>
      <w:r w:rsidR="00952641">
        <w:t>with bandwidth expansion</w:t>
      </w:r>
    </w:p>
    <w:p w14:paraId="64D6352B" w14:textId="311400BA" w:rsidR="00C84FFE" w:rsidRDefault="00140ED7" w:rsidP="000139F9">
      <w:pPr>
        <w:jc w:val="both"/>
      </w:pPr>
      <w:r>
        <w:t>Unlike how tone reservation uses e</w:t>
      </w:r>
      <w:r w:rsidR="00C84FFE" w:rsidRPr="00321F1A">
        <w:t>xcess bandwi</w:t>
      </w:r>
      <w:r w:rsidR="00BA1A4F">
        <w:t>dth</w:t>
      </w:r>
      <w:r>
        <w:t xml:space="preserve">, </w:t>
      </w:r>
      <w:r w:rsidR="00D94791">
        <w:t>FDSS</w:t>
      </w:r>
      <w:r w:rsidR="00EA62C6">
        <w:t xml:space="preserve"> treat</w:t>
      </w:r>
      <w:r w:rsidR="00D94791">
        <w:t>s</w:t>
      </w:r>
      <w:r w:rsidR="00EA62C6">
        <w:t xml:space="preserve"> </w:t>
      </w:r>
      <w:r w:rsidR="00830AEA">
        <w:t>the excess bandwidth as part of total allocated bandwidth</w:t>
      </w:r>
      <w:r w:rsidR="00AD4E63">
        <w:t xml:space="preserve"> and use</w:t>
      </w:r>
      <w:r w:rsidR="00B255B7">
        <w:t>s</w:t>
      </w:r>
      <w:r w:rsidR="00AD4E63">
        <w:t xml:space="preserve"> it towards </w:t>
      </w:r>
      <w:r w:rsidR="00BF05BB">
        <w:t>pulse shaping for DFT-S-OFDM</w:t>
      </w:r>
      <w:r w:rsidR="000E23A2">
        <w:t xml:space="preserve">. </w:t>
      </w:r>
      <w:r w:rsidR="00162C8E">
        <w:t xml:space="preserve">The </w:t>
      </w:r>
      <w:r w:rsidR="00EB6A63">
        <w:t xml:space="preserve">core ideas draw upon classical approaches to single-carrier transmissions with </w:t>
      </w:r>
      <w:r w:rsidR="00EE1FA4">
        <w:t xml:space="preserve">root raise cosine pulses with </w:t>
      </w:r>
      <w:r w:rsidR="000104BA">
        <w:t xml:space="preserve">a roll-off factor less than 1. </w:t>
      </w:r>
    </w:p>
    <w:p w14:paraId="577225C2" w14:textId="00BFBAEB" w:rsidR="00162C8E" w:rsidRPr="00321F1A" w:rsidRDefault="00162C8E" w:rsidP="000139F9">
      <w:pPr>
        <w:jc w:val="both"/>
      </w:pPr>
      <w:r>
        <w:t>This is a two</w:t>
      </w:r>
      <w:r w:rsidR="00E22BAE">
        <w:t>-</w:t>
      </w:r>
      <w:r>
        <w:t xml:space="preserve">step process, as outlined in </w:t>
      </w:r>
      <w:r w:rsidR="00DE3CE7">
        <w:fldChar w:fldCharType="begin"/>
      </w:r>
      <w:r w:rsidR="00DE3CE7">
        <w:instrText xml:space="preserve"> REF _Ref115426583 \h </w:instrText>
      </w:r>
      <w:r w:rsidR="00DE3CE7">
        <w:fldChar w:fldCharType="separate"/>
      </w:r>
      <w:r w:rsidR="00EA7EC4">
        <w:t xml:space="preserve">Figure </w:t>
      </w:r>
      <w:r w:rsidR="00EA7EC4">
        <w:rPr>
          <w:noProof/>
        </w:rPr>
        <w:t>13</w:t>
      </w:r>
      <w:r w:rsidR="00DE3CE7">
        <w:fldChar w:fldCharType="end"/>
      </w:r>
      <w:r w:rsidR="00DE3CE7">
        <w:t xml:space="preserve">. </w:t>
      </w:r>
      <w:r w:rsidR="005D701F">
        <w:t xml:space="preserve">Assuming </w:t>
      </w:r>
      <w:r w:rsidR="002607D1">
        <w:t xml:space="preserve">an M-point DFT is used to generate the DFT-S-OFDM waveform, </w:t>
      </w:r>
      <w:r w:rsidR="002904EF">
        <w:t xml:space="preserve">the first step </w:t>
      </w:r>
      <w:r w:rsidR="00D327F1">
        <w:t xml:space="preserve">takes the output of the </w:t>
      </w:r>
      <m:oMath>
        <m:r>
          <w:rPr>
            <w:rFonts w:ascii="Cambria Math" w:hAnsi="Cambria Math"/>
          </w:rPr>
          <m:t>M</m:t>
        </m:r>
      </m:oMath>
      <w:r w:rsidR="00D327F1">
        <w:t xml:space="preserve">-point DFT and cyclically extends it </w:t>
      </w:r>
      <w:r w:rsidR="00BE0648">
        <w:t xml:space="preserve">to </w:t>
      </w:r>
      <m:oMath>
        <m:r>
          <w:rPr>
            <w:rFonts w:ascii="Cambria Math" w:hAnsi="Cambria Math"/>
          </w:rPr>
          <m:t>K</m:t>
        </m:r>
      </m:oMath>
      <w:r w:rsidR="00BE0648">
        <w:t xml:space="preserve"> additional tones</w:t>
      </w:r>
      <w:r w:rsidR="0021799A">
        <w:t xml:space="preserve">. In the second step, this </w:t>
      </w:r>
      <w:r w:rsidR="00237EF2">
        <w:t xml:space="preserve">cyclically extended output </w:t>
      </w:r>
      <w:r w:rsidR="00BB532B">
        <w:t xml:space="preserve">is then </w:t>
      </w:r>
      <w:r w:rsidR="00A72C95">
        <w:t>multiplied</w:t>
      </w:r>
      <w:r w:rsidR="00BB532B">
        <w:t xml:space="preserve"> </w:t>
      </w:r>
      <w:r w:rsidR="00A72C95">
        <w:t>with</w:t>
      </w:r>
      <w:r w:rsidR="00BB532B">
        <w:t xml:space="preserve"> frequency-domain coefficients corresponding to a </w:t>
      </w:r>
      <w:r w:rsidR="00FA00C3">
        <w:t>pulse shaping filter</w:t>
      </w:r>
      <w:r w:rsidR="00A72C95">
        <w:t>. The output of this operation is then mapped to M+K contiguous tones.</w:t>
      </w:r>
    </w:p>
    <w:p w14:paraId="78B4AA65" w14:textId="77777777" w:rsidR="00162C8E" w:rsidRDefault="00AA015F" w:rsidP="00321F1A">
      <w:pPr>
        <w:keepNext/>
        <w:jc w:val="center"/>
      </w:pPr>
      <w:r>
        <w:rPr>
          <w:b/>
          <w:bCs/>
          <w:noProof/>
        </w:rPr>
        <w:lastRenderedPageBreak/>
        <w:drawing>
          <wp:inline distT="0" distB="0" distL="0" distR="0" wp14:anchorId="672B2C98" wp14:editId="11296AE9">
            <wp:extent cx="4077354" cy="437065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86128" cy="4380061"/>
                    </a:xfrm>
                    <a:prstGeom prst="rect">
                      <a:avLst/>
                    </a:prstGeom>
                    <a:noFill/>
                  </pic:spPr>
                </pic:pic>
              </a:graphicData>
            </a:graphic>
          </wp:inline>
        </w:drawing>
      </w:r>
    </w:p>
    <w:p w14:paraId="2C95BCD2" w14:textId="6A6545C3" w:rsidR="00AA015F" w:rsidRDefault="00162C8E" w:rsidP="00321F1A">
      <w:pPr>
        <w:pStyle w:val="Caption"/>
        <w:jc w:val="center"/>
        <w:rPr>
          <w:b/>
          <w:bCs/>
        </w:rPr>
      </w:pPr>
      <w:bookmarkStart w:id="14" w:name="_Ref115426583"/>
      <w:bookmarkStart w:id="15" w:name="_Ref115426348"/>
      <w:r>
        <w:t xml:space="preserve">Figure </w:t>
      </w:r>
      <w:r>
        <w:fldChar w:fldCharType="begin"/>
      </w:r>
      <w:r>
        <w:instrText xml:space="preserve"> SEQ Figure \* ARABIC </w:instrText>
      </w:r>
      <w:r>
        <w:fldChar w:fldCharType="separate"/>
      </w:r>
      <w:r w:rsidR="00EA7EC4">
        <w:rPr>
          <w:noProof/>
        </w:rPr>
        <w:t>13</w:t>
      </w:r>
      <w:r>
        <w:fldChar w:fldCharType="end"/>
      </w:r>
      <w:bookmarkEnd w:id="14"/>
      <w:r>
        <w:t xml:space="preserve"> FDSS with bandwidth expansion</w:t>
      </w:r>
      <w:bookmarkEnd w:id="15"/>
    </w:p>
    <w:p w14:paraId="0174F559" w14:textId="536F0FB7" w:rsidR="006C2101" w:rsidRDefault="002D31A0" w:rsidP="006C2101">
      <w:pPr>
        <w:jc w:val="both"/>
      </w:pPr>
      <w:r>
        <w:t xml:space="preserve">The choice of the filter/pulse used to realize FDSS </w:t>
      </w:r>
      <w:r w:rsidR="0087289C">
        <w:t xml:space="preserve">depends on the spectrum flatness constraints imposed on a UE’s transmit waveform and </w:t>
      </w:r>
      <w:r w:rsidR="002F2A54">
        <w:t xml:space="preserve">on the amount of PAPR reduction that is desired. RAN4 defined a new set of spectrum flatness constraints for pi/2 BPSK waveforms to enable FDSS without BW expansion. A similar exercise may be required here where appropriate spectrum flatness conditions are developed for </w:t>
      </w:r>
      <w:r w:rsidR="00250817">
        <w:t>this new class of waveforms</w:t>
      </w:r>
      <w:r w:rsidR="002F2A54">
        <w:t>.</w:t>
      </w:r>
      <w:r w:rsidR="00C4271D">
        <w:t xml:space="preserve"> In what follows, we reuse the spectrum flatness constraints defined for </w:t>
      </w:r>
      <w:r w:rsidR="006F45AB">
        <w:t>pi/2 BPSK waveforms and consider 3-tap filters that conform to this requirement.</w:t>
      </w:r>
    </w:p>
    <w:tbl>
      <w:tblPr>
        <w:tblStyle w:val="TableGrid"/>
        <w:tblW w:w="0" w:type="auto"/>
        <w:tblLook w:val="04A0" w:firstRow="1" w:lastRow="0" w:firstColumn="1" w:lastColumn="0" w:noHBand="0" w:noVBand="1"/>
      </w:tblPr>
      <w:tblGrid>
        <w:gridCol w:w="9350"/>
      </w:tblGrid>
      <w:tr w:rsidR="00EE00CD" w14:paraId="3A86B722" w14:textId="77777777" w:rsidTr="00EE00CD">
        <w:tc>
          <w:tcPr>
            <w:tcW w:w="9350" w:type="dxa"/>
          </w:tcPr>
          <w:p w14:paraId="19E9D46A" w14:textId="66BAD2B8" w:rsidR="00EE00CD" w:rsidRDefault="00EE00CD" w:rsidP="00EE00CD">
            <w:pPr>
              <w:jc w:val="both"/>
            </w:pPr>
            <w:r w:rsidRPr="004F7173">
              <w:rPr>
                <w:b/>
                <w:bCs/>
              </w:rPr>
              <w:t>Observation</w:t>
            </w:r>
            <w:r w:rsidR="006A2288">
              <w:rPr>
                <w:b/>
                <w:bCs/>
              </w:rPr>
              <w:t xml:space="preserve"> </w:t>
            </w:r>
            <w:r w:rsidR="00D961AE">
              <w:rPr>
                <w:b/>
                <w:bCs/>
              </w:rPr>
              <w:t>7</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tc>
      </w:tr>
    </w:tbl>
    <w:p w14:paraId="3740301D" w14:textId="77777777" w:rsidR="00EE00CD" w:rsidRDefault="00EE00CD" w:rsidP="006C2101">
      <w:pPr>
        <w:jc w:val="both"/>
      </w:pPr>
    </w:p>
    <w:p w14:paraId="45BB6BFC" w14:textId="612D8895" w:rsidR="006C2101" w:rsidRPr="00321F1A" w:rsidRDefault="006C2101" w:rsidP="00321F1A">
      <w:pPr>
        <w:pStyle w:val="Heading3"/>
      </w:pPr>
      <w:r>
        <w:t xml:space="preserve">PAPR Reduction Using </w:t>
      </w:r>
      <w:r w:rsidR="009C12E2">
        <w:t>FDSS</w:t>
      </w:r>
    </w:p>
    <w:p w14:paraId="46B42FE5" w14:textId="2DEE9036" w:rsidR="00125E1C" w:rsidRDefault="00125E1C" w:rsidP="00125E1C">
      <w:pPr>
        <w:jc w:val="both"/>
      </w:pPr>
      <w:r>
        <w:t xml:space="preserve">To illustrate the effectiveness of </w:t>
      </w:r>
      <w:r w:rsidR="006A1ED0">
        <w:t>FDSS with BW expansion</w:t>
      </w:r>
      <w:r>
        <w:t>, we consider a UE that is allocated 8 RBs for PUSCH transmission. In addition to these RBs, the UE is also provided with 1 RB of</w:t>
      </w:r>
      <w:r w:rsidR="006A1ED0">
        <w:t xml:space="preserve"> excess BW</w:t>
      </w:r>
      <w:r>
        <w:t xml:space="preserve"> on either side of its allocation</w:t>
      </w:r>
      <w:r w:rsidR="007D3171">
        <w:t>.</w:t>
      </w:r>
      <w:r>
        <w:t xml:space="preserve"> </w:t>
      </w:r>
    </w:p>
    <w:p w14:paraId="2D940142" w14:textId="0388141C" w:rsidR="00DD0925" w:rsidRDefault="00951A21" w:rsidP="00951A21">
      <w:pPr>
        <w:jc w:val="both"/>
      </w:pPr>
      <w:r>
        <w:t xml:space="preserve">Focusing on such an allocation we consider a DFT-S-OFDM with QPSK modulation and </w:t>
      </w:r>
      <w:r w:rsidR="00DD0925">
        <w:t xml:space="preserve">note that when </w:t>
      </w:r>
      <w:r w:rsidR="00DD0925" w:rsidRPr="004F7173">
        <w:t xml:space="preserve">FDSS is introduced along with bandwidth expansion, PAPR </w:t>
      </w:r>
      <w:r w:rsidR="00940340">
        <w:t xml:space="preserve">reduces </w:t>
      </w:r>
      <w:r w:rsidR="00DD0925" w:rsidRPr="004F7173">
        <w:t xml:space="preserve">significantly. This is illustrated in </w:t>
      </w:r>
      <w:r w:rsidR="003F63A5">
        <w:fldChar w:fldCharType="begin"/>
      </w:r>
      <w:r w:rsidR="003F63A5">
        <w:instrText xml:space="preserve"> REF _Ref118624710 \h </w:instrText>
      </w:r>
      <w:r w:rsidR="003F63A5">
        <w:fldChar w:fldCharType="separate"/>
      </w:r>
      <w:r w:rsidR="00EA7EC4" w:rsidRPr="00321F1A">
        <w:t xml:space="preserve">Figure </w:t>
      </w:r>
      <w:r w:rsidR="00EA7EC4">
        <w:rPr>
          <w:noProof/>
        </w:rPr>
        <w:t>14</w:t>
      </w:r>
      <w:r w:rsidR="003F63A5">
        <w:fldChar w:fldCharType="end"/>
      </w:r>
      <w:r w:rsidR="003F63A5">
        <w:t>.</w:t>
      </w:r>
    </w:p>
    <w:p w14:paraId="2F9AEE5E" w14:textId="55926E23" w:rsidR="00E03063" w:rsidRDefault="00E03063" w:rsidP="00321F1A">
      <w:pPr>
        <w:keepNext/>
        <w:jc w:val="center"/>
      </w:pPr>
    </w:p>
    <w:p w14:paraId="174C7867" w14:textId="77777777" w:rsidR="00125E1C" w:rsidRPr="00541788" w:rsidRDefault="00BF5C5A" w:rsidP="00321F1A">
      <w:pPr>
        <w:keepNext/>
        <w:jc w:val="center"/>
      </w:pPr>
      <w:r w:rsidRPr="00541788">
        <w:rPr>
          <w:noProof/>
        </w:rPr>
        <w:drawing>
          <wp:inline distT="0" distB="0" distL="0" distR="0" wp14:anchorId="4415DAE7" wp14:editId="4BD8FFD2">
            <wp:extent cx="3320170" cy="2666068"/>
            <wp:effectExtent l="0" t="0" r="0" b="127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25"/>
                    <a:stretch>
                      <a:fillRect/>
                    </a:stretch>
                  </pic:blipFill>
                  <pic:spPr>
                    <a:xfrm>
                      <a:off x="0" y="0"/>
                      <a:ext cx="3325786" cy="2670578"/>
                    </a:xfrm>
                    <a:prstGeom prst="rect">
                      <a:avLst/>
                    </a:prstGeom>
                  </pic:spPr>
                </pic:pic>
              </a:graphicData>
            </a:graphic>
          </wp:inline>
        </w:drawing>
      </w:r>
    </w:p>
    <w:p w14:paraId="2F8C810A" w14:textId="64066879" w:rsidR="00FB18CD" w:rsidRPr="00321F1A" w:rsidRDefault="00125E1C" w:rsidP="00321F1A">
      <w:pPr>
        <w:pStyle w:val="Caption"/>
        <w:rPr>
          <w:color w:val="auto"/>
        </w:rPr>
      </w:pPr>
      <w:bookmarkStart w:id="16" w:name="_Ref118624710"/>
      <w:r w:rsidRPr="00321F1A">
        <w:rPr>
          <w:color w:val="auto"/>
        </w:rPr>
        <w:t xml:space="preserve">Figure </w:t>
      </w:r>
      <w:r w:rsidRPr="00321F1A">
        <w:rPr>
          <w:color w:val="auto"/>
        </w:rPr>
        <w:fldChar w:fldCharType="begin"/>
      </w:r>
      <w:r w:rsidRPr="00321F1A">
        <w:rPr>
          <w:color w:val="auto"/>
        </w:rPr>
        <w:instrText xml:space="preserve"> SEQ Figure \* ARABIC </w:instrText>
      </w:r>
      <w:r w:rsidRPr="00321F1A">
        <w:rPr>
          <w:color w:val="auto"/>
        </w:rPr>
        <w:fldChar w:fldCharType="separate"/>
      </w:r>
      <w:r w:rsidR="00EA7EC4">
        <w:rPr>
          <w:noProof/>
          <w:color w:val="auto"/>
        </w:rPr>
        <w:t>14</w:t>
      </w:r>
      <w:r w:rsidRPr="00321F1A">
        <w:rPr>
          <w:color w:val="auto"/>
        </w:rPr>
        <w:fldChar w:fldCharType="end"/>
      </w:r>
      <w:bookmarkEnd w:id="16"/>
      <w:r w:rsidRPr="00321F1A">
        <w:rPr>
          <w:color w:val="auto"/>
        </w:rPr>
        <w:t xml:space="preserve"> PAPR of DFT-S-OFDM with bandwidth expansion and FDSS. 3-tap filter conforming to RAN4 spectrum flatness constraints for pi/2 BPSK waveforms is used for FDSS.</w:t>
      </w:r>
    </w:p>
    <w:p w14:paraId="69179790" w14:textId="582CD8EC" w:rsidR="00FB18CD" w:rsidRDefault="00FB18CD">
      <w:r w:rsidRPr="004F7173">
        <w:t>As noted in the section on tone reservation, PAPR is just one component of a waveform that determines the transmit power. We will once again have to carefully analyze how these PAPR gains translate to transmit power gains</w:t>
      </w:r>
      <w:r>
        <w:t xml:space="preserve"> while complying with the various RAN4 constraints.</w:t>
      </w:r>
      <w:r w:rsidR="00603E30">
        <w:t xml:space="preserve"> </w:t>
      </w:r>
    </w:p>
    <w:p w14:paraId="113453B0" w14:textId="77777777" w:rsidR="0074609D" w:rsidRDefault="0074609D"/>
    <w:p w14:paraId="307455F4" w14:textId="77777777" w:rsidR="0074609D" w:rsidRDefault="0074609D" w:rsidP="0074609D">
      <w:pPr>
        <w:pStyle w:val="Heading3"/>
      </w:pPr>
      <w:r>
        <w:t>Link-level performance and gNB receiver design</w:t>
      </w:r>
    </w:p>
    <w:p w14:paraId="7A123154" w14:textId="77777777" w:rsidR="0074609D" w:rsidRDefault="0074609D" w:rsidP="0074609D">
      <w:pPr>
        <w:jc w:val="both"/>
        <w:rPr>
          <w:lang w:val="en-GB"/>
        </w:rPr>
      </w:pPr>
      <w:r>
        <w:rPr>
          <w:lang w:val="en-GB"/>
        </w:rPr>
        <w:t>One crucial aspect that differentiates FDSS with bandwidth expansion from tone reservation is the overall impact on link-level performance and potential need to enhance the gNB receiver to cope with FDSS.</w:t>
      </w:r>
    </w:p>
    <w:p w14:paraId="26FB4C7E" w14:textId="77777777" w:rsidR="0074609D" w:rsidRDefault="0074609D" w:rsidP="0074609D">
      <w:pPr>
        <w:jc w:val="both"/>
        <w:rPr>
          <w:lang w:val="en-GB"/>
        </w:rPr>
      </w:pPr>
      <w:r>
        <w:rPr>
          <w:lang w:val="en-GB"/>
        </w:rPr>
        <w:t xml:space="preserve">There are two aspects to take note of in this context. </w:t>
      </w:r>
    </w:p>
    <w:p w14:paraId="11B243AF" w14:textId="77777777" w:rsidR="0074609D" w:rsidRPr="008B4038" w:rsidRDefault="0074609D" w:rsidP="004D36C0">
      <w:pPr>
        <w:pStyle w:val="ListParagraph"/>
        <w:numPr>
          <w:ilvl w:val="0"/>
          <w:numId w:val="31"/>
        </w:numPr>
        <w:jc w:val="both"/>
        <w:rPr>
          <w:lang w:val="en-GB"/>
        </w:rPr>
      </w:pPr>
      <w:r w:rsidRPr="003C35ED">
        <w:rPr>
          <w:lang w:val="en-GB"/>
        </w:rPr>
        <w:t>F</w:t>
      </w:r>
      <w:r>
        <w:t xml:space="preserve">or any FDSS scheme with bandwidth expansion, it is unlikely that the gNB will have complete knowledge of the exact pulse shaping filter used by the UE. The UE may be given the freedom to design its own filters subject to certain spectrum flatness conditions. </w:t>
      </w:r>
    </w:p>
    <w:p w14:paraId="7EDB561B" w14:textId="685D21AB" w:rsidR="0074609D" w:rsidRDefault="0074609D" w:rsidP="004D36C0">
      <w:pPr>
        <w:pStyle w:val="ListParagraph"/>
        <w:numPr>
          <w:ilvl w:val="0"/>
          <w:numId w:val="31"/>
        </w:numPr>
        <w:jc w:val="both"/>
        <w:rPr>
          <w:lang w:val="en-GB"/>
        </w:rPr>
      </w:pPr>
      <w:r>
        <w:t>How a g</w:t>
      </w:r>
      <w:r w:rsidR="00E324C7">
        <w:t>N</w:t>
      </w:r>
      <w:r>
        <w:t xml:space="preserve">B receiver handles the excess BW plays an important role. </w:t>
      </w:r>
      <w:r>
        <w:rPr>
          <w:lang w:val="en-GB"/>
        </w:rPr>
        <w:t xml:space="preserve">A simple gNB receiver may discard the excess bandwidth and exclusively focus on the allocated bandwidth. Such a receiver may stay ignorant to FDSS at the UE. Although such a design is simple and appealing, it comes at the expense of link-level performance since the power expended by a UE in the excess bandwidth is not used optimally by the gNB. </w:t>
      </w:r>
    </w:p>
    <w:p w14:paraId="3F83393A" w14:textId="15FE734F" w:rsidR="0074609D" w:rsidRPr="008B4038" w:rsidRDefault="0074609D" w:rsidP="0074609D">
      <w:pPr>
        <w:jc w:val="both"/>
        <w:rPr>
          <w:lang w:val="en-GB"/>
        </w:rPr>
      </w:pPr>
      <w:r>
        <w:rPr>
          <w:lang w:val="en-GB"/>
        </w:rPr>
        <w:t xml:space="preserve">In </w:t>
      </w:r>
      <w:r w:rsidR="009A1ED6">
        <w:rPr>
          <w:lang w:val="en-GB"/>
        </w:rPr>
        <w:fldChar w:fldCharType="begin"/>
      </w:r>
      <w:r w:rsidR="009A1ED6">
        <w:rPr>
          <w:lang w:val="en-GB"/>
        </w:rPr>
        <w:instrText xml:space="preserve"> REF _Ref127532348 \h </w:instrText>
      </w:r>
      <w:r w:rsidR="009A1ED6">
        <w:rPr>
          <w:lang w:val="en-GB"/>
        </w:rPr>
      </w:r>
      <w:r w:rsidR="009A1ED6">
        <w:rPr>
          <w:lang w:val="en-GB"/>
        </w:rPr>
        <w:fldChar w:fldCharType="separate"/>
      </w:r>
      <w:r w:rsidR="00EA7EC4">
        <w:t xml:space="preserve">Figure </w:t>
      </w:r>
      <w:r w:rsidR="00EA7EC4">
        <w:rPr>
          <w:noProof/>
        </w:rPr>
        <w:t>15</w:t>
      </w:r>
      <w:r w:rsidR="009A1ED6">
        <w:rPr>
          <w:lang w:val="en-GB"/>
        </w:rPr>
        <w:fldChar w:fldCharType="end"/>
      </w:r>
      <w:r>
        <w:rPr>
          <w:lang w:val="en-GB"/>
        </w:rPr>
        <w:t xml:space="preserve">, we present link-level performance results for </w:t>
      </w:r>
      <w:r w:rsidR="009A1ED6">
        <w:rPr>
          <w:lang w:val="en-GB"/>
        </w:rPr>
        <w:t xml:space="preserve">the case of a </w:t>
      </w:r>
      <w:r w:rsidR="008437CE">
        <w:rPr>
          <w:lang w:val="en-GB"/>
        </w:rPr>
        <w:t>8 RB data allocation with 2 excess RBs, spanning a total of 10 RBs</w:t>
      </w:r>
      <w:r>
        <w:rPr>
          <w:lang w:val="en-GB"/>
        </w:rPr>
        <w:t>. The simulation parameters</w:t>
      </w:r>
      <w:r w:rsidR="00C51742">
        <w:rPr>
          <w:lang w:val="en-GB"/>
        </w:rPr>
        <w:t xml:space="preserve"> </w:t>
      </w:r>
      <w:r w:rsidR="00C51742" w:rsidRPr="00321F1A">
        <w:t>for link-level performance comparison</w:t>
      </w:r>
      <w:r>
        <w:rPr>
          <w:lang w:val="en-GB"/>
        </w:rPr>
        <w:t xml:space="preserve"> are listed in</w:t>
      </w:r>
      <w:r w:rsidR="00B113A9">
        <w:rPr>
          <w:lang w:val="en-GB"/>
        </w:rPr>
        <w:t xml:space="preserve"> </w:t>
      </w:r>
      <w:r w:rsidR="00B113A9">
        <w:rPr>
          <w:lang w:val="en-GB"/>
        </w:rPr>
        <w:fldChar w:fldCharType="begin"/>
      </w:r>
      <w:r w:rsidR="00B113A9">
        <w:rPr>
          <w:lang w:val="en-GB"/>
        </w:rPr>
        <w:instrText xml:space="preserve"> REF _Ref131764558 \h </w:instrText>
      </w:r>
      <w:r w:rsidR="00B113A9">
        <w:rPr>
          <w:lang w:val="en-GB"/>
        </w:rPr>
      </w:r>
      <w:r w:rsidR="00B113A9">
        <w:rPr>
          <w:lang w:val="en-GB"/>
        </w:rPr>
        <w:fldChar w:fldCharType="separate"/>
      </w:r>
      <w:r w:rsidR="00B113A9" w:rsidRPr="00321F1A">
        <w:t xml:space="preserve">Table </w:t>
      </w:r>
      <w:r w:rsidR="00B113A9">
        <w:rPr>
          <w:noProof/>
        </w:rPr>
        <w:t>6</w:t>
      </w:r>
      <w:r w:rsidR="00B113A9">
        <w:rPr>
          <w:lang w:val="en-GB"/>
        </w:rPr>
        <w:fldChar w:fldCharType="end"/>
      </w:r>
      <w:r>
        <w:rPr>
          <w:lang w:val="en-GB"/>
        </w:rPr>
        <w:t xml:space="preserve">. </w:t>
      </w:r>
      <w:r w:rsidR="008437CE">
        <w:rPr>
          <w:lang w:val="en-GB"/>
        </w:rPr>
        <w:t>Similar trends are observed for other cases</w:t>
      </w:r>
      <w:r w:rsidR="00500376">
        <w:rPr>
          <w:lang w:val="en-GB"/>
        </w:rPr>
        <w:t>.</w:t>
      </w:r>
    </w:p>
    <w:p w14:paraId="283743CF" w14:textId="2AB2DE7C" w:rsidR="0074609D" w:rsidRPr="00321F1A" w:rsidRDefault="0074609D" w:rsidP="0074609D">
      <w:pPr>
        <w:pStyle w:val="Caption"/>
        <w:keepNext/>
        <w:jc w:val="center"/>
        <w:rPr>
          <w:color w:val="auto"/>
          <w:sz w:val="20"/>
          <w:szCs w:val="20"/>
        </w:rPr>
      </w:pPr>
      <w:bookmarkStart w:id="17" w:name="_Ref131764558"/>
      <w:bookmarkStart w:id="18" w:name="_Ref127532416"/>
      <w:r w:rsidRPr="00321F1A">
        <w:rPr>
          <w:color w:val="auto"/>
          <w:sz w:val="20"/>
          <w:szCs w:val="20"/>
        </w:rPr>
        <w:t xml:space="preserve">Table </w:t>
      </w:r>
      <w:r w:rsidRPr="00321F1A">
        <w:rPr>
          <w:color w:val="auto"/>
          <w:sz w:val="20"/>
          <w:szCs w:val="20"/>
        </w:rPr>
        <w:fldChar w:fldCharType="begin"/>
      </w:r>
      <w:r w:rsidRPr="00321F1A">
        <w:rPr>
          <w:color w:val="auto"/>
          <w:sz w:val="20"/>
          <w:szCs w:val="20"/>
        </w:rPr>
        <w:instrText xml:space="preserve"> SEQ Table \* ARABIC </w:instrText>
      </w:r>
      <w:r w:rsidRPr="00321F1A">
        <w:rPr>
          <w:color w:val="auto"/>
          <w:sz w:val="20"/>
          <w:szCs w:val="20"/>
        </w:rPr>
        <w:fldChar w:fldCharType="separate"/>
      </w:r>
      <w:r w:rsidR="00EA7EC4">
        <w:rPr>
          <w:noProof/>
          <w:color w:val="auto"/>
          <w:sz w:val="20"/>
          <w:szCs w:val="20"/>
        </w:rPr>
        <w:t>6</w:t>
      </w:r>
      <w:r w:rsidRPr="00321F1A">
        <w:rPr>
          <w:color w:val="auto"/>
          <w:sz w:val="20"/>
          <w:szCs w:val="20"/>
        </w:rPr>
        <w:fldChar w:fldCharType="end"/>
      </w:r>
      <w:bookmarkEnd w:id="17"/>
      <w:r w:rsidRPr="00321F1A">
        <w:rPr>
          <w:color w:val="auto"/>
          <w:sz w:val="20"/>
          <w:szCs w:val="20"/>
        </w:rPr>
        <w:t xml:space="preserve"> Simulation Parameters for link-level performance comparison</w:t>
      </w:r>
      <w:bookmarkEnd w:id="18"/>
      <w:r w:rsidR="008437CE" w:rsidRPr="00321F1A">
        <w:rPr>
          <w:color w:val="auto"/>
          <w:sz w:val="20"/>
          <w:szCs w:val="20"/>
        </w:rPr>
        <w:t xml:space="preserve"> of FDSS with BWE</w:t>
      </w:r>
    </w:p>
    <w:tbl>
      <w:tblPr>
        <w:tblStyle w:val="TableGrid"/>
        <w:tblW w:w="0" w:type="auto"/>
        <w:tblInd w:w="2155" w:type="dxa"/>
        <w:tblLook w:val="04A0" w:firstRow="1" w:lastRow="0" w:firstColumn="1" w:lastColumn="0" w:noHBand="0" w:noVBand="1"/>
      </w:tblPr>
      <w:tblGrid>
        <w:gridCol w:w="2520"/>
        <w:gridCol w:w="3060"/>
      </w:tblGrid>
      <w:tr w:rsidR="0074609D" w14:paraId="55894221" w14:textId="77777777" w:rsidTr="008B4038">
        <w:tc>
          <w:tcPr>
            <w:tcW w:w="5580" w:type="dxa"/>
            <w:gridSpan w:val="2"/>
          </w:tcPr>
          <w:p w14:paraId="6B311897" w14:textId="77777777" w:rsidR="0074609D" w:rsidRDefault="0074609D" w:rsidP="008B4038">
            <w:pPr>
              <w:jc w:val="center"/>
            </w:pPr>
            <w:r>
              <w:t>Simulation Parameters</w:t>
            </w:r>
          </w:p>
        </w:tc>
      </w:tr>
      <w:tr w:rsidR="0074609D" w14:paraId="67DB3CBC" w14:textId="77777777" w:rsidTr="008B4038">
        <w:tc>
          <w:tcPr>
            <w:tcW w:w="2520" w:type="dxa"/>
          </w:tcPr>
          <w:p w14:paraId="0DBACDC6" w14:textId="77777777" w:rsidR="0074609D" w:rsidRDefault="0074609D" w:rsidP="008B4038">
            <w:pPr>
              <w:jc w:val="center"/>
            </w:pPr>
            <w:r>
              <w:t>#Antennas at UE</w:t>
            </w:r>
          </w:p>
        </w:tc>
        <w:tc>
          <w:tcPr>
            <w:tcW w:w="3060" w:type="dxa"/>
          </w:tcPr>
          <w:p w14:paraId="5274D9FA" w14:textId="77777777" w:rsidR="0074609D" w:rsidRDefault="0074609D" w:rsidP="008B4038">
            <w:pPr>
              <w:jc w:val="center"/>
            </w:pPr>
            <w:r>
              <w:t>1</w:t>
            </w:r>
          </w:p>
        </w:tc>
      </w:tr>
      <w:tr w:rsidR="0074609D" w14:paraId="00FC7E5B" w14:textId="77777777" w:rsidTr="008B4038">
        <w:tc>
          <w:tcPr>
            <w:tcW w:w="2520" w:type="dxa"/>
          </w:tcPr>
          <w:p w14:paraId="60B5EE3B" w14:textId="77777777" w:rsidR="0074609D" w:rsidRDefault="0074609D" w:rsidP="008B4038">
            <w:pPr>
              <w:jc w:val="center"/>
            </w:pPr>
            <w:r>
              <w:t>#Antennas at gNB</w:t>
            </w:r>
          </w:p>
        </w:tc>
        <w:tc>
          <w:tcPr>
            <w:tcW w:w="3060" w:type="dxa"/>
          </w:tcPr>
          <w:p w14:paraId="3E8149E4" w14:textId="77777777" w:rsidR="0074609D" w:rsidRDefault="0074609D" w:rsidP="008B4038">
            <w:pPr>
              <w:jc w:val="center"/>
            </w:pPr>
            <w:r>
              <w:t>4</w:t>
            </w:r>
          </w:p>
        </w:tc>
      </w:tr>
      <w:tr w:rsidR="0074609D" w14:paraId="309740DD" w14:textId="77777777" w:rsidTr="008B4038">
        <w:tc>
          <w:tcPr>
            <w:tcW w:w="2520" w:type="dxa"/>
          </w:tcPr>
          <w:p w14:paraId="71882A52" w14:textId="77777777" w:rsidR="0074609D" w:rsidRDefault="0074609D" w:rsidP="008B4038">
            <w:pPr>
              <w:jc w:val="center"/>
            </w:pPr>
            <w:r>
              <w:t>Channel</w:t>
            </w:r>
          </w:p>
        </w:tc>
        <w:tc>
          <w:tcPr>
            <w:tcW w:w="3060" w:type="dxa"/>
          </w:tcPr>
          <w:p w14:paraId="0FCC6DA6" w14:textId="77777777" w:rsidR="0074609D" w:rsidRDefault="0074609D" w:rsidP="008B4038">
            <w:pPr>
              <w:jc w:val="center"/>
            </w:pPr>
            <w:r>
              <w:t>TDL-C-300ns</w:t>
            </w:r>
          </w:p>
        </w:tc>
      </w:tr>
      <w:tr w:rsidR="0074609D" w14:paraId="20D951DA" w14:textId="77777777" w:rsidTr="008B4038">
        <w:tc>
          <w:tcPr>
            <w:tcW w:w="2520" w:type="dxa"/>
          </w:tcPr>
          <w:p w14:paraId="35A023AB" w14:textId="77777777" w:rsidR="0074609D" w:rsidRDefault="0074609D" w:rsidP="008B4038">
            <w:pPr>
              <w:jc w:val="center"/>
            </w:pPr>
            <w:r>
              <w:t>Waveform</w:t>
            </w:r>
          </w:p>
        </w:tc>
        <w:tc>
          <w:tcPr>
            <w:tcW w:w="3060" w:type="dxa"/>
          </w:tcPr>
          <w:p w14:paraId="5B85389A" w14:textId="77777777" w:rsidR="0074609D" w:rsidRDefault="0074609D" w:rsidP="008B4038">
            <w:pPr>
              <w:jc w:val="center"/>
            </w:pPr>
            <w:r>
              <w:t>DFT-S-OFDM, QPSK</w:t>
            </w:r>
          </w:p>
        </w:tc>
      </w:tr>
      <w:tr w:rsidR="0074609D" w14:paraId="3C9A112C" w14:textId="77777777" w:rsidTr="008B4038">
        <w:tc>
          <w:tcPr>
            <w:tcW w:w="2520" w:type="dxa"/>
          </w:tcPr>
          <w:p w14:paraId="4C25CCDF" w14:textId="77777777" w:rsidR="0074609D" w:rsidRDefault="0074609D" w:rsidP="008B4038">
            <w:pPr>
              <w:jc w:val="center"/>
            </w:pPr>
            <w:r>
              <w:t>FDSS mode</w:t>
            </w:r>
          </w:p>
        </w:tc>
        <w:tc>
          <w:tcPr>
            <w:tcW w:w="3060" w:type="dxa"/>
          </w:tcPr>
          <w:p w14:paraId="61315516" w14:textId="77777777" w:rsidR="0074609D" w:rsidRDefault="0074609D" w:rsidP="008B4038">
            <w:pPr>
              <w:jc w:val="center"/>
            </w:pPr>
            <w:r>
              <w:t>Cyclic extension on one side</w:t>
            </w:r>
          </w:p>
        </w:tc>
      </w:tr>
      <w:tr w:rsidR="0074609D" w14:paraId="3F3801D1" w14:textId="77777777" w:rsidTr="008B4038">
        <w:tc>
          <w:tcPr>
            <w:tcW w:w="2520" w:type="dxa"/>
          </w:tcPr>
          <w:p w14:paraId="7D919933" w14:textId="77777777" w:rsidR="0074609D" w:rsidRDefault="0074609D" w:rsidP="008B4038">
            <w:pPr>
              <w:jc w:val="center"/>
            </w:pPr>
            <w:r>
              <w:t>#data symbols</w:t>
            </w:r>
          </w:p>
        </w:tc>
        <w:tc>
          <w:tcPr>
            <w:tcW w:w="3060" w:type="dxa"/>
          </w:tcPr>
          <w:p w14:paraId="55AF4006" w14:textId="77777777" w:rsidR="0074609D" w:rsidRDefault="0074609D" w:rsidP="008B4038">
            <w:pPr>
              <w:jc w:val="center"/>
            </w:pPr>
            <w:r>
              <w:t>12</w:t>
            </w:r>
          </w:p>
        </w:tc>
      </w:tr>
      <w:tr w:rsidR="0074609D" w14:paraId="618FA890" w14:textId="77777777" w:rsidTr="008B4038">
        <w:tc>
          <w:tcPr>
            <w:tcW w:w="2520" w:type="dxa"/>
          </w:tcPr>
          <w:p w14:paraId="62AA8E62" w14:textId="77777777" w:rsidR="0074609D" w:rsidRDefault="0074609D" w:rsidP="008B4038">
            <w:pPr>
              <w:jc w:val="center"/>
            </w:pPr>
            <w:r>
              <w:lastRenderedPageBreak/>
              <w:t>#DMRS symbols</w:t>
            </w:r>
          </w:p>
        </w:tc>
        <w:tc>
          <w:tcPr>
            <w:tcW w:w="3060" w:type="dxa"/>
          </w:tcPr>
          <w:p w14:paraId="44252F2D" w14:textId="77777777" w:rsidR="0074609D" w:rsidRDefault="0074609D" w:rsidP="008B4038">
            <w:pPr>
              <w:jc w:val="center"/>
            </w:pPr>
            <w:r>
              <w:t>2</w:t>
            </w:r>
          </w:p>
        </w:tc>
      </w:tr>
      <w:tr w:rsidR="0074609D" w14:paraId="60DA1C70" w14:textId="77777777" w:rsidTr="008B4038">
        <w:tc>
          <w:tcPr>
            <w:tcW w:w="2520" w:type="dxa"/>
          </w:tcPr>
          <w:p w14:paraId="5F4286A2" w14:textId="77777777" w:rsidR="0074609D" w:rsidRDefault="0074609D" w:rsidP="008B4038">
            <w:pPr>
              <w:jc w:val="center"/>
            </w:pPr>
            <w:r>
              <w:t>Filter used by UE</w:t>
            </w:r>
          </w:p>
        </w:tc>
        <w:tc>
          <w:tcPr>
            <w:tcW w:w="3060" w:type="dxa"/>
          </w:tcPr>
          <w:p w14:paraId="1633EB64" w14:textId="77777777" w:rsidR="0074609D" w:rsidRDefault="0074609D" w:rsidP="008B4038">
            <w:pPr>
              <w:jc w:val="center"/>
            </w:pPr>
            <w:r>
              <w:t>3-tap filter [-0.28 1 -0.28]</w:t>
            </w:r>
          </w:p>
        </w:tc>
      </w:tr>
      <w:tr w:rsidR="0074609D" w14:paraId="4A0B7A87" w14:textId="77777777" w:rsidTr="008B4038">
        <w:tc>
          <w:tcPr>
            <w:tcW w:w="2520" w:type="dxa"/>
          </w:tcPr>
          <w:p w14:paraId="2A81EEF9" w14:textId="77777777" w:rsidR="0074609D" w:rsidRDefault="0074609D" w:rsidP="008B4038">
            <w:pPr>
              <w:jc w:val="center"/>
            </w:pPr>
            <w:r>
              <w:t>gNB knowledge of filter</w:t>
            </w:r>
          </w:p>
        </w:tc>
        <w:tc>
          <w:tcPr>
            <w:tcW w:w="3060" w:type="dxa"/>
          </w:tcPr>
          <w:p w14:paraId="55B98AB7" w14:textId="77777777" w:rsidR="0074609D" w:rsidRDefault="0074609D" w:rsidP="008B4038">
            <w:pPr>
              <w:jc w:val="center"/>
            </w:pPr>
            <w:r>
              <w:t>No</w:t>
            </w:r>
          </w:p>
        </w:tc>
      </w:tr>
      <w:tr w:rsidR="0074609D" w14:paraId="26EC767A" w14:textId="77777777" w:rsidTr="008B4038">
        <w:tc>
          <w:tcPr>
            <w:tcW w:w="2520" w:type="dxa"/>
          </w:tcPr>
          <w:p w14:paraId="35686409" w14:textId="77777777" w:rsidR="0074609D" w:rsidRDefault="0074609D" w:rsidP="008B4038">
            <w:pPr>
              <w:jc w:val="center"/>
            </w:pPr>
            <w:r>
              <w:t>gNB receiver</w:t>
            </w:r>
          </w:p>
        </w:tc>
        <w:tc>
          <w:tcPr>
            <w:tcW w:w="3060" w:type="dxa"/>
          </w:tcPr>
          <w:p w14:paraId="00D282B1" w14:textId="77777777" w:rsidR="0074609D" w:rsidRDefault="0074609D" w:rsidP="008B4038">
            <w:pPr>
              <w:jc w:val="center"/>
            </w:pPr>
            <w:r>
              <w:t>MMSE equalization in freq domain + combining across all tones OR combining across data tones only</w:t>
            </w:r>
          </w:p>
        </w:tc>
      </w:tr>
      <w:tr w:rsidR="0074609D" w14:paraId="0CB879FA" w14:textId="77777777" w:rsidTr="008B4038">
        <w:tc>
          <w:tcPr>
            <w:tcW w:w="2520" w:type="dxa"/>
          </w:tcPr>
          <w:p w14:paraId="5889E64F" w14:textId="77777777" w:rsidR="0074609D" w:rsidRDefault="0074609D" w:rsidP="008B4038">
            <w:pPr>
              <w:jc w:val="center"/>
            </w:pPr>
            <w:r>
              <w:t>gNB DMRS processing</w:t>
            </w:r>
          </w:p>
        </w:tc>
        <w:tc>
          <w:tcPr>
            <w:tcW w:w="3060" w:type="dxa"/>
          </w:tcPr>
          <w:p w14:paraId="3D554EB0" w14:textId="77777777" w:rsidR="0074609D" w:rsidRDefault="0074609D" w:rsidP="008B4038">
            <w:pPr>
              <w:keepNext/>
              <w:jc w:val="center"/>
            </w:pPr>
            <w:r>
              <w:t>MMSE channel estimation assuming data and DMRS undergo filtering. Representative filter is used.</w:t>
            </w:r>
          </w:p>
        </w:tc>
      </w:tr>
    </w:tbl>
    <w:p w14:paraId="1C2C1C9A" w14:textId="77777777" w:rsidR="0074609D" w:rsidRDefault="0074609D" w:rsidP="0074609D">
      <w:pPr>
        <w:jc w:val="center"/>
      </w:pPr>
    </w:p>
    <w:p w14:paraId="6351FCEF" w14:textId="3EC65E2B" w:rsidR="0074609D" w:rsidRDefault="0074609D" w:rsidP="0074609D">
      <w:pPr>
        <w:keepNext/>
        <w:overflowPunct/>
        <w:autoSpaceDE/>
        <w:autoSpaceDN/>
        <w:adjustRightInd/>
        <w:spacing w:after="0"/>
        <w:jc w:val="center"/>
        <w:textAlignment w:val="auto"/>
      </w:pPr>
    </w:p>
    <w:p w14:paraId="797658E2" w14:textId="77777777" w:rsidR="0074609D" w:rsidRDefault="0074609D" w:rsidP="0074609D">
      <w:pPr>
        <w:overflowPunct/>
        <w:autoSpaceDE/>
        <w:autoSpaceDN/>
        <w:adjustRightInd/>
        <w:spacing w:after="0"/>
        <w:textAlignment w:val="auto"/>
        <w:rPr>
          <w:rFonts w:ascii="Calibri" w:eastAsia="Times New Roman" w:hAnsi="Calibri" w:cs="Calibri"/>
          <w:b/>
          <w:bCs/>
          <w:sz w:val="22"/>
          <w:szCs w:val="22"/>
        </w:rPr>
      </w:pPr>
    </w:p>
    <w:p w14:paraId="4C3CC0E0" w14:textId="77777777" w:rsidR="0074609D" w:rsidRDefault="0074609D" w:rsidP="0074609D">
      <w:pPr>
        <w:keepNext/>
        <w:overflowPunct/>
        <w:autoSpaceDE/>
        <w:autoSpaceDN/>
        <w:adjustRightInd/>
        <w:spacing w:after="0"/>
        <w:jc w:val="center"/>
        <w:textAlignment w:val="auto"/>
      </w:pPr>
      <w:r>
        <w:rPr>
          <w:noProof/>
        </w:rPr>
        <w:drawing>
          <wp:inline distT="0" distB="0" distL="0" distR="0" wp14:anchorId="695D2D8F" wp14:editId="36A9B0E6">
            <wp:extent cx="3231055" cy="2489224"/>
            <wp:effectExtent l="0" t="0" r="7620" b="6350"/>
            <wp:docPr id="1027" name="Picture 10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10;&#10;Description automatically generated"/>
                    <pic:cNvPicPr/>
                  </pic:nvPicPr>
                  <pic:blipFill>
                    <a:blip r:embed="rId26"/>
                    <a:stretch>
                      <a:fillRect/>
                    </a:stretch>
                  </pic:blipFill>
                  <pic:spPr>
                    <a:xfrm>
                      <a:off x="0" y="0"/>
                      <a:ext cx="3266237" cy="2516328"/>
                    </a:xfrm>
                    <a:prstGeom prst="rect">
                      <a:avLst/>
                    </a:prstGeom>
                  </pic:spPr>
                </pic:pic>
              </a:graphicData>
            </a:graphic>
          </wp:inline>
        </w:drawing>
      </w:r>
    </w:p>
    <w:p w14:paraId="51C02512" w14:textId="556F8982" w:rsidR="0074609D" w:rsidRDefault="0074609D" w:rsidP="0074609D">
      <w:pPr>
        <w:pStyle w:val="Caption"/>
        <w:jc w:val="center"/>
      </w:pPr>
      <w:bookmarkStart w:id="19" w:name="_Ref127532348"/>
      <w:r>
        <w:t xml:space="preserve">Figure </w:t>
      </w:r>
      <w:r>
        <w:fldChar w:fldCharType="begin"/>
      </w:r>
      <w:r>
        <w:instrText xml:space="preserve"> SEQ Figure \* ARABIC </w:instrText>
      </w:r>
      <w:r>
        <w:fldChar w:fldCharType="separate"/>
      </w:r>
      <w:r w:rsidR="00EA7EC4">
        <w:rPr>
          <w:noProof/>
        </w:rPr>
        <w:t>15</w:t>
      </w:r>
      <w:r>
        <w:fldChar w:fldCharType="end"/>
      </w:r>
      <w:bookmarkEnd w:id="19"/>
      <w:r>
        <w:t xml:space="preserve"> </w:t>
      </w:r>
      <w:r w:rsidRPr="00590CAD">
        <w:t xml:space="preserve">Baseline comparison to assess value </w:t>
      </w:r>
      <w:r>
        <w:t>FDSS</w:t>
      </w:r>
      <w:r w:rsidRPr="00590CAD">
        <w:t xml:space="preserve"> with </w:t>
      </w:r>
      <w:r>
        <w:t>8</w:t>
      </w:r>
      <w:r w:rsidRPr="00590CAD">
        <w:t xml:space="preserve"> RB data allocation and 2 excess RBs.  The case with excess RBs is compared against the case where excess RBs are used towards data allocation. QPSK and pi/2 BPSK baselines are included.</w:t>
      </w:r>
    </w:p>
    <w:p w14:paraId="535AF942" w14:textId="0D266726" w:rsidR="0074609D" w:rsidRDefault="0074609D" w:rsidP="0074609D">
      <w:pPr>
        <w:jc w:val="both"/>
        <w:rPr>
          <w:lang w:val="en-GB"/>
        </w:rPr>
      </w:pPr>
      <w:r>
        <w:rPr>
          <w:lang w:val="en-GB"/>
        </w:rPr>
        <w:t xml:space="preserve">Compared to QPSK waveforms as baseline, it is seen that FDSS require an additional SNR of </w:t>
      </w:r>
      <w:r w:rsidR="00A86209">
        <w:rPr>
          <w:lang w:val="en-GB"/>
        </w:rPr>
        <w:t>about</w:t>
      </w:r>
      <w:r>
        <w:rPr>
          <w:lang w:val="en-GB"/>
        </w:rPr>
        <w:t xml:space="preserve"> 0.7 dB assuming the gNB receiver is setup to process the excess BW. The gap grows by additional 0.2 dB if we assume the gNB receiver does not process the excess BW. </w:t>
      </w:r>
    </w:p>
    <w:p w14:paraId="2BCE871D" w14:textId="3C456E9C" w:rsidR="009D7E60" w:rsidRPr="00321F1A" w:rsidRDefault="005D21A8" w:rsidP="0074609D">
      <w:pPr>
        <w:jc w:val="both"/>
        <w:rPr>
          <w:lang w:val="en-GB"/>
        </w:rPr>
      </w:pPr>
      <w:r w:rsidRPr="00321F1A">
        <w:rPr>
          <w:lang w:val="en-GB"/>
        </w:rPr>
        <w:t xml:space="preserve">Similar to the case of tone reservation, </w:t>
      </w:r>
      <w:r w:rsidR="00014D5B" w:rsidRPr="00321F1A">
        <w:rPr>
          <w:lang w:val="en-GB"/>
        </w:rPr>
        <w:t xml:space="preserve">the potential power boost delivered by FDSS+BWE will have to overcome the loss in link-level performance for it provide a coverage gain. </w:t>
      </w:r>
      <w:r w:rsidR="004203B4" w:rsidRPr="00321F1A">
        <w:rPr>
          <w:lang w:val="en-GB"/>
        </w:rPr>
        <w:t>This analysis is presented in Section 2.3.5.</w:t>
      </w:r>
      <w:r w:rsidR="009D7E60">
        <w:rPr>
          <w:lang w:val="en-GB"/>
        </w:rPr>
        <w:t xml:space="preserve"> </w:t>
      </w:r>
    </w:p>
    <w:p w14:paraId="0895FF06" w14:textId="10081396" w:rsidR="00C84CDF" w:rsidRDefault="0074609D" w:rsidP="0074609D">
      <w:pPr>
        <w:overflowPunct/>
        <w:autoSpaceDE/>
        <w:autoSpaceDN/>
        <w:adjustRightInd/>
        <w:spacing w:after="0"/>
        <w:jc w:val="both"/>
        <w:textAlignment w:val="auto"/>
        <w:rPr>
          <w:rFonts w:eastAsia="Times New Roman"/>
        </w:rPr>
      </w:pPr>
      <w:r w:rsidRPr="008B4038">
        <w:rPr>
          <w:rFonts w:eastAsia="Times New Roman"/>
        </w:rPr>
        <w:t xml:space="preserve">Further, </w:t>
      </w:r>
      <w:r w:rsidR="009D7E60">
        <w:rPr>
          <w:rFonts w:eastAsia="Times New Roman"/>
        </w:rPr>
        <w:t xml:space="preserve">unlike tone reservation, FDSS with BWE will </w:t>
      </w:r>
      <w:r w:rsidRPr="008B4038">
        <w:rPr>
          <w:rFonts w:eastAsia="Times New Roman"/>
        </w:rPr>
        <w:t>likely requir</w:t>
      </w:r>
      <w:r w:rsidR="009D7E60">
        <w:rPr>
          <w:rFonts w:eastAsia="Times New Roman"/>
        </w:rPr>
        <w:t>e</w:t>
      </w:r>
      <w:r w:rsidRPr="008B4038">
        <w:rPr>
          <w:rFonts w:eastAsia="Times New Roman"/>
        </w:rPr>
        <w:t xml:space="preserve"> hardware changes to gNB receiver</w:t>
      </w:r>
      <w:r w:rsidR="009D7E60">
        <w:rPr>
          <w:rFonts w:eastAsia="Times New Roman"/>
        </w:rPr>
        <w:t xml:space="preserve"> as well as UE transmitter. </w:t>
      </w:r>
      <w:r w:rsidR="00CA5533">
        <w:rPr>
          <w:rFonts w:eastAsia="Times New Roman"/>
        </w:rPr>
        <w:t>This overall impact must be factored in when deciding whether to specify these non-transparent schemes</w:t>
      </w:r>
      <w:r w:rsidR="00C84CDF">
        <w:rPr>
          <w:rFonts w:eastAsia="Times New Roman"/>
        </w:rPr>
        <w:t xml:space="preserve"> for coverage enhancement or not.</w:t>
      </w:r>
    </w:p>
    <w:p w14:paraId="16BD30C9" w14:textId="77777777" w:rsidR="0074609D" w:rsidRDefault="0074609D" w:rsidP="0074609D">
      <w:pPr>
        <w:overflowPunct/>
        <w:autoSpaceDE/>
        <w:autoSpaceDN/>
        <w:adjustRightInd/>
        <w:spacing w:after="0"/>
        <w:jc w:val="both"/>
        <w:textAlignment w:val="auto"/>
        <w:rPr>
          <w:rFonts w:ascii="Calibri" w:eastAsia="Times New Roman" w:hAnsi="Calibri" w:cs="Calibri"/>
          <w:sz w:val="22"/>
          <w:szCs w:val="22"/>
        </w:rPr>
      </w:pPr>
    </w:p>
    <w:p w14:paraId="5A56C3EA" w14:textId="42A5AB7C" w:rsidR="00762D76" w:rsidRDefault="00762D76" w:rsidP="0087507B">
      <w:pPr>
        <w:pStyle w:val="Heading3"/>
      </w:pPr>
      <w:r>
        <w:t>DMRS Design</w:t>
      </w:r>
      <w:r w:rsidR="00F151AB">
        <w:t xml:space="preserve"> for FDSS with BWE</w:t>
      </w:r>
    </w:p>
    <w:p w14:paraId="31411CD4" w14:textId="6580B098" w:rsidR="00F151AB" w:rsidRDefault="00F151AB" w:rsidP="00F151AB">
      <w:pPr>
        <w:rPr>
          <w:lang w:val="en-GB"/>
        </w:rPr>
      </w:pPr>
      <w:r>
        <w:rPr>
          <w:lang w:val="en-GB"/>
        </w:rPr>
        <w:t>Current 5G NR specification provides three</w:t>
      </w:r>
      <w:r w:rsidRPr="00F151AB">
        <w:rPr>
          <w:lang w:val="en-GB"/>
        </w:rPr>
        <w:t xml:space="preserve"> kinds of DMRS sequences for PUSCH transmissions</w:t>
      </w:r>
      <w:r>
        <w:rPr>
          <w:lang w:val="en-GB"/>
        </w:rPr>
        <w:t>:</w:t>
      </w:r>
    </w:p>
    <w:p w14:paraId="553E67C3" w14:textId="01A73127" w:rsidR="00F151AB" w:rsidRPr="00F151AB" w:rsidRDefault="00F151AB" w:rsidP="004D36C0">
      <w:pPr>
        <w:pStyle w:val="ListParagraph"/>
        <w:numPr>
          <w:ilvl w:val="0"/>
          <w:numId w:val="32"/>
        </w:numPr>
        <w:rPr>
          <w:lang w:val="en-GB"/>
        </w:rPr>
      </w:pPr>
      <w:r w:rsidRPr="00F151AB">
        <w:rPr>
          <w:lang w:val="en-GB"/>
        </w:rPr>
        <w:t xml:space="preserve">PN sequence mapped to QPSK modulation and used for CP-OFDM </w:t>
      </w:r>
    </w:p>
    <w:p w14:paraId="11D8C7D1" w14:textId="2637048B" w:rsidR="00F151AB" w:rsidRPr="00F151AB" w:rsidRDefault="00F151AB" w:rsidP="004D36C0">
      <w:pPr>
        <w:pStyle w:val="ListParagraph"/>
        <w:numPr>
          <w:ilvl w:val="0"/>
          <w:numId w:val="32"/>
        </w:numPr>
        <w:rPr>
          <w:lang w:val="en-GB"/>
        </w:rPr>
      </w:pPr>
      <w:r w:rsidRPr="00F151AB">
        <w:rPr>
          <w:lang w:val="en-GB"/>
        </w:rPr>
        <w:t xml:space="preserve">Low PAPR sequence Type 1: Based </w:t>
      </w:r>
      <w:r>
        <w:rPr>
          <w:lang w:val="en-GB"/>
        </w:rPr>
        <w:t>on</w:t>
      </w:r>
      <w:r w:rsidRPr="00F151AB">
        <w:rPr>
          <w:lang w:val="en-GB"/>
        </w:rPr>
        <w:t xml:space="preserve"> Zadoff-Chu sequence</w:t>
      </w:r>
      <w:r>
        <w:rPr>
          <w:lang w:val="en-GB"/>
        </w:rPr>
        <w:t xml:space="preserve"> or CGS</w:t>
      </w:r>
      <w:r w:rsidRPr="00F151AB">
        <w:rPr>
          <w:lang w:val="en-GB"/>
        </w:rPr>
        <w:t xml:space="preserve"> for DFT-S-OFDM PUSCH</w:t>
      </w:r>
    </w:p>
    <w:p w14:paraId="035E581E" w14:textId="024CE1FC" w:rsidR="00F151AB" w:rsidRPr="00F151AB" w:rsidRDefault="00F151AB" w:rsidP="004D36C0">
      <w:pPr>
        <w:pStyle w:val="ListParagraph"/>
        <w:numPr>
          <w:ilvl w:val="0"/>
          <w:numId w:val="32"/>
        </w:numPr>
        <w:rPr>
          <w:lang w:val="en-GB"/>
        </w:rPr>
      </w:pPr>
      <w:r w:rsidRPr="00F151AB">
        <w:rPr>
          <w:lang w:val="en-GB"/>
        </w:rPr>
        <w:t xml:space="preserve">Low PAPR sequence Type 2: </w:t>
      </w:r>
      <w:r>
        <w:rPr>
          <w:lang w:val="en-GB"/>
        </w:rPr>
        <w:t>Based on Gold sequence mapped to p</w:t>
      </w:r>
      <w:r w:rsidRPr="00F151AB">
        <w:rPr>
          <w:lang w:val="en-GB"/>
        </w:rPr>
        <w:t>i/2</w:t>
      </w:r>
      <w:r>
        <w:rPr>
          <w:lang w:val="en-GB"/>
        </w:rPr>
        <w:t>-</w:t>
      </w:r>
      <w:r w:rsidRPr="00F151AB">
        <w:rPr>
          <w:lang w:val="en-GB"/>
        </w:rPr>
        <w:t>BPSK for DFT-S-OFDM PUSCH</w:t>
      </w:r>
    </w:p>
    <w:p w14:paraId="4FBF2557" w14:textId="7955F539" w:rsidR="00F151AB" w:rsidRDefault="00F151AB" w:rsidP="00321F1A">
      <w:pPr>
        <w:jc w:val="both"/>
        <w:rPr>
          <w:lang w:val="en-GB"/>
        </w:rPr>
      </w:pPr>
      <w:r>
        <w:rPr>
          <w:lang w:val="en-GB"/>
        </w:rPr>
        <w:t>Of the three options, only the second and third can be a potential DMRS for PUSCH with FDSS and BWE. We make the following observations on DMRS based on low PAPR sequence Type 1 and Type 2:</w:t>
      </w:r>
    </w:p>
    <w:p w14:paraId="339A957F" w14:textId="069BA0D5" w:rsidR="00F151AB" w:rsidRDefault="00F151AB" w:rsidP="00321F1A">
      <w:pPr>
        <w:jc w:val="both"/>
        <w:rPr>
          <w:lang w:val="en-GB"/>
        </w:rPr>
      </w:pPr>
      <w:r>
        <w:rPr>
          <w:lang w:val="en-GB"/>
        </w:rPr>
        <w:t xml:space="preserve">Low-PAPR sequence Type 1 is generated in the frequency domain and </w:t>
      </w:r>
      <w:r w:rsidR="000E3F9C">
        <w:rPr>
          <w:lang w:val="en-GB"/>
        </w:rPr>
        <w:t xml:space="preserve">the </w:t>
      </w:r>
      <w:r>
        <w:rPr>
          <w:lang w:val="en-GB"/>
        </w:rPr>
        <w:t xml:space="preserve">waveform is generated using steps </w:t>
      </w:r>
      <w:r w:rsidR="00B113A9">
        <w:rPr>
          <w:lang w:val="en-GB"/>
        </w:rPr>
        <w:t>like</w:t>
      </w:r>
      <w:r>
        <w:rPr>
          <w:lang w:val="en-GB"/>
        </w:rPr>
        <w:t xml:space="preserve"> that of CP-OFDM. For RB allocations greater than 4, a Zadoff</w:t>
      </w:r>
      <w:r w:rsidR="00245748">
        <w:rPr>
          <w:lang w:val="en-GB"/>
        </w:rPr>
        <w:t>-</w:t>
      </w:r>
      <w:r>
        <w:rPr>
          <w:lang w:val="en-GB"/>
        </w:rPr>
        <w:t xml:space="preserve">Chu sequence is used with cyclic extension for allocations </w:t>
      </w:r>
      <w:r>
        <w:rPr>
          <w:lang w:val="en-GB"/>
        </w:rPr>
        <w:lastRenderedPageBreak/>
        <w:t xml:space="preserve">greater than 5 RBs and truncation when number of RBs allocated is 5. For RB allocations between 1 to 4, computer-generated sequences (CGS) are specified; a total of 30 sequences are provided for each of the 4 cases. By the nature of its construction, the resulting waveform has a constant </w:t>
      </w:r>
      <w:r w:rsidR="00A77CF3">
        <w:rPr>
          <w:lang w:val="en-GB"/>
        </w:rPr>
        <w:t>PSD,</w:t>
      </w:r>
      <w:r>
        <w:rPr>
          <w:lang w:val="en-GB"/>
        </w:rPr>
        <w:t xml:space="preserve"> and this may be a desirable property from a channel estimation standpoint at the receiver. A comb-2 pattern with OCC is used to generate a total of 4 orthogonal ports. </w:t>
      </w:r>
    </w:p>
    <w:p w14:paraId="4C77D77C" w14:textId="7D981163" w:rsidR="00F151AB" w:rsidRDefault="00F151AB" w:rsidP="00053B58">
      <w:pPr>
        <w:jc w:val="both"/>
        <w:rPr>
          <w:lang w:val="en-GB"/>
        </w:rPr>
      </w:pPr>
      <w:r>
        <w:rPr>
          <w:lang w:val="en-GB"/>
        </w:rPr>
        <w:t>Low-PAPR sequence Type 2 is generated in time domain and goes through the usual steps of generating a DFT-S-OFDM waveform. For RB allocations greater than 4, a Gold sequence generator is used to generate a pi/2 BPSK sequence. Computer-generated sequences are used when RB allocations are between 1 to 4. The sequence mapping in time domain is such that a 2-comb structure in frequency domain is generated. A total of 4 ports are possible, with 2 ports per comb. The 2 ports per comb use different sequences and are therefore not perfectly orthogonal.</w:t>
      </w:r>
    </w:p>
    <w:p w14:paraId="4DE007AA" w14:textId="43D27A3E" w:rsidR="00F151AB" w:rsidRDefault="00F151AB" w:rsidP="00053B58">
      <w:pPr>
        <w:jc w:val="both"/>
        <w:rPr>
          <w:lang w:val="en-GB"/>
        </w:rPr>
      </w:pPr>
      <w:r>
        <w:rPr>
          <w:lang w:val="en-GB"/>
        </w:rPr>
        <w:t xml:space="preserve">For FDSS with BWE, there are two key aspects to consider: </w:t>
      </w:r>
    </w:p>
    <w:p w14:paraId="7C2E621F" w14:textId="3B1115E1" w:rsidR="00F151AB" w:rsidRPr="00F151AB" w:rsidRDefault="00F151AB" w:rsidP="004D36C0">
      <w:pPr>
        <w:pStyle w:val="ListParagraph"/>
        <w:numPr>
          <w:ilvl w:val="0"/>
          <w:numId w:val="33"/>
        </w:numPr>
        <w:jc w:val="both"/>
        <w:rPr>
          <w:lang w:val="en-GB"/>
        </w:rPr>
      </w:pPr>
      <w:r w:rsidRPr="00F151AB">
        <w:rPr>
          <w:lang w:val="en-GB"/>
        </w:rPr>
        <w:t>Ensuring that the DMRS design has a PAPR</w:t>
      </w:r>
      <w:r w:rsidR="00600DE7">
        <w:rPr>
          <w:lang w:val="en-GB"/>
        </w:rPr>
        <w:t xml:space="preserve"> (and OBO)</w:t>
      </w:r>
      <w:r w:rsidRPr="00F151AB">
        <w:rPr>
          <w:lang w:val="en-GB"/>
        </w:rPr>
        <w:t xml:space="preserve"> that is less than or equal to that of the data </w:t>
      </w:r>
      <w:r w:rsidR="00B113A9" w:rsidRPr="00F151AB">
        <w:rPr>
          <w:lang w:val="en-GB"/>
        </w:rPr>
        <w:t>waveform.</w:t>
      </w:r>
    </w:p>
    <w:p w14:paraId="5EE92B5E" w14:textId="6844DAA4" w:rsidR="00F151AB" w:rsidRPr="00F151AB" w:rsidRDefault="00F151AB" w:rsidP="004D36C0">
      <w:pPr>
        <w:pStyle w:val="ListParagraph"/>
        <w:numPr>
          <w:ilvl w:val="0"/>
          <w:numId w:val="33"/>
        </w:numPr>
        <w:jc w:val="both"/>
        <w:rPr>
          <w:lang w:val="en-GB"/>
        </w:rPr>
      </w:pPr>
      <w:r w:rsidRPr="00F151AB">
        <w:rPr>
          <w:lang w:val="en-GB"/>
        </w:rPr>
        <w:t xml:space="preserve">Assessing the impact of time domain vs frequency domain design of DMRS </w:t>
      </w:r>
      <w:r w:rsidR="00055ED9">
        <w:rPr>
          <w:lang w:val="en-GB"/>
        </w:rPr>
        <w:t>(Type 1 vs Type 2)</w:t>
      </w:r>
      <w:r w:rsidR="00D676E0">
        <w:rPr>
          <w:lang w:val="en-GB"/>
        </w:rPr>
        <w:t xml:space="preserve"> on link-level performance</w:t>
      </w:r>
    </w:p>
    <w:p w14:paraId="4B96B1FD" w14:textId="5ED278A5" w:rsidR="00F151AB" w:rsidRDefault="00F151AB" w:rsidP="00F151AB">
      <w:pPr>
        <w:rPr>
          <w:lang w:val="en-GB"/>
        </w:rPr>
      </w:pPr>
      <w:r>
        <w:rPr>
          <w:lang w:val="en-GB"/>
        </w:rPr>
        <w:t>The above two considerations will eventually determine the DMRS design that i</w:t>
      </w:r>
      <w:r w:rsidR="00D676E0">
        <w:rPr>
          <w:lang w:val="en-GB"/>
        </w:rPr>
        <w:t>s</w:t>
      </w:r>
      <w:r>
        <w:rPr>
          <w:lang w:val="en-GB"/>
        </w:rPr>
        <w:t xml:space="preserve"> to be paired with FDSS with BWE.</w:t>
      </w:r>
    </w:p>
    <w:p w14:paraId="4B6B4777" w14:textId="418F0001" w:rsidR="00713ACE" w:rsidRDefault="00713ACE" w:rsidP="00F151AB">
      <w:pPr>
        <w:rPr>
          <w:lang w:val="en-GB"/>
        </w:rPr>
      </w:pPr>
      <w:r>
        <w:rPr>
          <w:lang w:val="en-GB"/>
        </w:rPr>
        <w:t xml:space="preserve">While the following discussion in focused on PAPR and link-level performance, </w:t>
      </w:r>
      <w:r w:rsidR="003F27DC">
        <w:rPr>
          <w:lang w:val="en-GB"/>
        </w:rPr>
        <w:t>it is also important to factor in the OBO resulting from any particular choice of DMRS. It is therefore suggested that</w:t>
      </w:r>
      <w:r w:rsidR="00AE2005">
        <w:rPr>
          <w:lang w:val="en-GB"/>
        </w:rPr>
        <w:t xml:space="preserve"> we seek further input on this from RAN4.</w:t>
      </w:r>
    </w:p>
    <w:p w14:paraId="24B2B1D8" w14:textId="2303C671" w:rsidR="0070337C" w:rsidRDefault="00713ACE" w:rsidP="00F151AB">
      <w:pPr>
        <w:rPr>
          <w:lang w:val="en-GB"/>
        </w:rPr>
      </w:pPr>
      <w:r w:rsidRPr="00D77300">
        <w:rPr>
          <w:b/>
          <w:bCs/>
          <w:lang w:val="en-GB"/>
        </w:rPr>
        <w:t>Proposal</w:t>
      </w:r>
      <w:r w:rsidR="00D77300" w:rsidRPr="00D77300">
        <w:rPr>
          <w:b/>
          <w:bCs/>
          <w:lang w:val="en-GB"/>
        </w:rPr>
        <w:t xml:space="preserve"> </w:t>
      </w:r>
      <w:r w:rsidR="00D77300">
        <w:rPr>
          <w:b/>
          <w:bCs/>
          <w:lang w:val="en-GB"/>
        </w:rPr>
        <w:t>3</w:t>
      </w:r>
      <w:r w:rsidRPr="00D77300">
        <w:rPr>
          <w:b/>
          <w:bCs/>
          <w:lang w:val="en-GB"/>
        </w:rPr>
        <w:t>:</w:t>
      </w:r>
      <w:r>
        <w:rPr>
          <w:lang w:val="en-GB"/>
        </w:rPr>
        <w:t xml:space="preserve"> </w:t>
      </w:r>
      <w:r w:rsidR="003A2CC1">
        <w:rPr>
          <w:lang w:val="en-GB"/>
        </w:rPr>
        <w:t xml:space="preserve">Prior to determining the </w:t>
      </w:r>
      <w:r w:rsidR="00C27654">
        <w:rPr>
          <w:lang w:val="en-GB"/>
        </w:rPr>
        <w:t>appropriate DMRS to pair with FDSS with BWE</w:t>
      </w:r>
      <w:r w:rsidR="00844541">
        <w:rPr>
          <w:lang w:val="en-GB"/>
        </w:rPr>
        <w:t xml:space="preserve">, </w:t>
      </w:r>
      <w:r w:rsidR="004B2081">
        <w:rPr>
          <w:lang w:val="en-GB"/>
        </w:rPr>
        <w:t xml:space="preserve">seek </w:t>
      </w:r>
      <w:r w:rsidR="00844541">
        <w:rPr>
          <w:lang w:val="en-GB"/>
        </w:rPr>
        <w:t>further input from RAN4 on the actual power gains from the p</w:t>
      </w:r>
      <w:r w:rsidR="00C27654">
        <w:rPr>
          <w:lang w:val="en-GB"/>
        </w:rPr>
        <w:t xml:space="preserve">otential options </w:t>
      </w:r>
      <w:r>
        <w:rPr>
          <w:lang w:val="en-GB"/>
        </w:rPr>
        <w:t>(including new and legacy DMRS</w:t>
      </w:r>
      <w:r w:rsidR="00844541">
        <w:rPr>
          <w:lang w:val="en-GB"/>
        </w:rPr>
        <w:t xml:space="preserve"> designs</w:t>
      </w:r>
      <w:r>
        <w:rPr>
          <w:lang w:val="en-GB"/>
        </w:rPr>
        <w:t>).</w:t>
      </w:r>
    </w:p>
    <w:p w14:paraId="1C0C6FD7" w14:textId="348EACB5" w:rsidR="00F151AB" w:rsidRDefault="00F151AB" w:rsidP="00053B58">
      <w:pPr>
        <w:pStyle w:val="Heading4"/>
      </w:pPr>
      <w:r>
        <w:t>PAPR Comparisons</w:t>
      </w:r>
      <w:r w:rsidR="0028302D">
        <w:t xml:space="preserve"> of DMRS with FDSS and BW Expansion</w:t>
      </w:r>
    </w:p>
    <w:p w14:paraId="76FD4693" w14:textId="5074D52D" w:rsidR="00E13581" w:rsidRPr="00321F1A" w:rsidRDefault="00971F8E" w:rsidP="00E13581">
      <w:pPr>
        <w:jc w:val="both"/>
        <w:rPr>
          <w:lang w:val="en-GB"/>
        </w:rPr>
      </w:pPr>
      <w:r w:rsidRPr="00321F1A">
        <w:rPr>
          <w:lang w:val="en-GB"/>
        </w:rPr>
        <w:t xml:space="preserve">They key question of DMRS design for FDSS with BW expansion revolves around how the excess BW is handled and </w:t>
      </w:r>
      <w:r w:rsidR="00B20F70" w:rsidRPr="00321F1A">
        <w:rPr>
          <w:lang w:val="en-GB"/>
        </w:rPr>
        <w:t xml:space="preserve">how the DMRS sequence is extended to span this bandwidth. For Type 2 DMRS since the sequence is generated in time domain, it is straightforward to mimic the same steps as data and </w:t>
      </w:r>
      <w:r w:rsidR="000327BC" w:rsidRPr="00321F1A">
        <w:rPr>
          <w:lang w:val="en-GB"/>
        </w:rPr>
        <w:t xml:space="preserve">extend the sequence cyclically in frequency domain. </w:t>
      </w:r>
      <w:r w:rsidR="00A57ECF" w:rsidRPr="00321F1A">
        <w:rPr>
          <w:lang w:val="en-GB"/>
        </w:rPr>
        <w:t xml:space="preserve">For Type 1 DMRS, </w:t>
      </w:r>
      <w:r w:rsidR="00E13581" w:rsidRPr="00321F1A">
        <w:rPr>
          <w:lang w:val="en-GB"/>
        </w:rPr>
        <w:t>since the sequence is generated directly in frequency domain, it is not entirely clear how best to extend it across the excess BW. Three potential solutions were identified</w:t>
      </w:r>
      <w:r w:rsidR="001032C9" w:rsidRPr="00321F1A">
        <w:rPr>
          <w:lang w:val="en-GB"/>
        </w:rPr>
        <w:t>:</w:t>
      </w:r>
    </w:p>
    <w:p w14:paraId="03652488" w14:textId="5D7EFA55" w:rsidR="001032C9" w:rsidRPr="00541788" w:rsidRDefault="001032C9" w:rsidP="004D36C0">
      <w:pPr>
        <w:pStyle w:val="ListParagraph"/>
        <w:numPr>
          <w:ilvl w:val="0"/>
          <w:numId w:val="47"/>
        </w:numPr>
        <w:jc w:val="both"/>
        <w:rPr>
          <w:lang w:val="en-GB"/>
        </w:rPr>
      </w:pPr>
      <w:r w:rsidRPr="00541788">
        <w:rPr>
          <w:lang w:val="en-GB"/>
        </w:rPr>
        <w:t xml:space="preserve">Type 1 DMRS sequence </w:t>
      </w:r>
      <w:r w:rsidR="00596899" w:rsidRPr="00541788">
        <w:rPr>
          <w:lang w:val="en-GB"/>
        </w:rPr>
        <w:t xml:space="preserve">is mapped to RBs and then the RBs are cyclically </w:t>
      </w:r>
      <w:r w:rsidR="00B113A9" w:rsidRPr="00541788">
        <w:rPr>
          <w:lang w:val="en-GB"/>
        </w:rPr>
        <w:t>extended.</w:t>
      </w:r>
    </w:p>
    <w:p w14:paraId="368F930F" w14:textId="7B6E18A1" w:rsidR="00B11C42" w:rsidRPr="00541788" w:rsidRDefault="00596899" w:rsidP="004D36C0">
      <w:pPr>
        <w:pStyle w:val="ListParagraph"/>
        <w:numPr>
          <w:ilvl w:val="0"/>
          <w:numId w:val="47"/>
        </w:numPr>
        <w:jc w:val="both"/>
        <w:rPr>
          <w:lang w:val="en-GB"/>
        </w:rPr>
      </w:pPr>
      <w:r w:rsidRPr="00541788">
        <w:rPr>
          <w:lang w:val="en-GB"/>
        </w:rPr>
        <w:t xml:space="preserve">Type 1 DMRS sequence is </w:t>
      </w:r>
      <w:r w:rsidR="00115883" w:rsidRPr="00321F1A">
        <w:rPr>
          <w:lang w:val="en-GB"/>
        </w:rPr>
        <w:t xml:space="preserve">chosen </w:t>
      </w:r>
      <w:r w:rsidR="004B1666" w:rsidRPr="00321F1A">
        <w:rPr>
          <w:lang w:val="en-GB"/>
        </w:rPr>
        <w:t xml:space="preserve">assuming </w:t>
      </w:r>
      <w:r w:rsidR="00115883" w:rsidRPr="00321F1A">
        <w:rPr>
          <w:lang w:val="en-GB"/>
        </w:rPr>
        <w:t>no excess BW an</w:t>
      </w:r>
      <w:r w:rsidR="008448BA" w:rsidRPr="00541788">
        <w:rPr>
          <w:lang w:val="en-GB"/>
        </w:rPr>
        <w:t>d the</w:t>
      </w:r>
      <w:r w:rsidR="00115883" w:rsidRPr="00321F1A">
        <w:rPr>
          <w:lang w:val="en-GB"/>
        </w:rPr>
        <w:t xml:space="preserve"> chosen sequence is</w:t>
      </w:r>
      <w:r w:rsidR="008448BA" w:rsidRPr="00541788">
        <w:rPr>
          <w:lang w:val="en-GB"/>
        </w:rPr>
        <w:t xml:space="preserve"> cyclically extended to span the excess BW, </w:t>
      </w:r>
      <w:r w:rsidR="00B113A9" w:rsidRPr="00541788">
        <w:rPr>
          <w:lang w:val="en-GB"/>
        </w:rPr>
        <w:t>i.e.,</w:t>
      </w:r>
      <w:r w:rsidR="008448BA" w:rsidRPr="00541788">
        <w:rPr>
          <w:lang w:val="en-GB"/>
        </w:rPr>
        <w:t xml:space="preserve"> cyclic </w:t>
      </w:r>
      <w:r w:rsidR="00B11C42" w:rsidRPr="00541788">
        <w:rPr>
          <w:lang w:val="en-GB"/>
        </w:rPr>
        <w:t>sequence extension, or</w:t>
      </w:r>
    </w:p>
    <w:p w14:paraId="642DA1F1" w14:textId="6ADAC330" w:rsidR="00B11C42" w:rsidRPr="00541788" w:rsidRDefault="00B11C42" w:rsidP="004D36C0">
      <w:pPr>
        <w:pStyle w:val="ListParagraph"/>
        <w:numPr>
          <w:ilvl w:val="0"/>
          <w:numId w:val="47"/>
        </w:numPr>
        <w:jc w:val="both"/>
        <w:rPr>
          <w:lang w:val="en-GB"/>
        </w:rPr>
      </w:pPr>
      <w:r w:rsidRPr="00541788">
        <w:rPr>
          <w:lang w:val="en-GB"/>
        </w:rPr>
        <w:t xml:space="preserve">Type 1 DMRS is directly generated to span the entire allocation, including the excess BW, thereby not requiring any further </w:t>
      </w:r>
      <w:r w:rsidR="005D3959" w:rsidRPr="00541788">
        <w:rPr>
          <w:lang w:val="en-GB"/>
        </w:rPr>
        <w:t>extension.</w:t>
      </w:r>
    </w:p>
    <w:p w14:paraId="402C9399" w14:textId="4B438D09" w:rsidR="00596899" w:rsidRPr="00541788" w:rsidRDefault="0098375F" w:rsidP="00321F1A">
      <w:pPr>
        <w:jc w:val="both"/>
        <w:rPr>
          <w:lang w:val="en-GB"/>
        </w:rPr>
      </w:pPr>
      <w:r w:rsidRPr="00321F1A">
        <w:rPr>
          <w:lang w:val="en-GB"/>
        </w:rPr>
        <w:t xml:space="preserve">The PAPR of the waveforms resulting from the three approaches is plotted in the figures below. </w:t>
      </w:r>
      <w:r w:rsidR="000E681F" w:rsidRPr="00321F1A">
        <w:rPr>
          <w:lang w:val="en-GB"/>
        </w:rPr>
        <w:t xml:space="preserve">Its clear that </w:t>
      </w:r>
      <w:r w:rsidR="00CD37CE" w:rsidRPr="00321F1A">
        <w:rPr>
          <w:lang w:val="en-GB"/>
        </w:rPr>
        <w:t>Option (</w:t>
      </w:r>
      <w:r w:rsidR="00481B24" w:rsidRPr="00321F1A">
        <w:rPr>
          <w:lang w:val="en-GB"/>
        </w:rPr>
        <w:t xml:space="preserve">b) works best for Type 1 DMRS when allocations are large enough to use ZC sequences. Type 1 DMRS with CGS does not perform well with </w:t>
      </w:r>
      <w:r w:rsidR="00725321" w:rsidRPr="00321F1A">
        <w:rPr>
          <w:lang w:val="en-GB"/>
        </w:rPr>
        <w:t>Option (b)</w:t>
      </w:r>
      <w:r w:rsidR="009E74AD" w:rsidRPr="00321F1A">
        <w:rPr>
          <w:lang w:val="en-GB"/>
        </w:rPr>
        <w:t xml:space="preserve"> --- i</w:t>
      </w:r>
      <w:r w:rsidR="00725321" w:rsidRPr="00321F1A">
        <w:rPr>
          <w:lang w:val="en-GB"/>
        </w:rPr>
        <w:t xml:space="preserve">f Type 1 DMRS is to be used with small allocations, </w:t>
      </w:r>
      <w:r w:rsidR="009E74AD" w:rsidRPr="00321F1A">
        <w:rPr>
          <w:lang w:val="en-GB"/>
        </w:rPr>
        <w:t xml:space="preserve">a new set of sequences will be required. Notice also that Type 2 DMRS </w:t>
      </w:r>
      <w:r w:rsidR="00D5013B" w:rsidRPr="00321F1A">
        <w:rPr>
          <w:lang w:val="en-GB"/>
        </w:rPr>
        <w:t>mirrors the operations followed for a data waveform and consequently has comparable or better PAPR. Thus Type 2 DMRS is a</w:t>
      </w:r>
      <w:r w:rsidR="00485E08" w:rsidRPr="00321F1A">
        <w:rPr>
          <w:lang w:val="en-GB"/>
        </w:rPr>
        <w:t>lso a good candidate DMRS for FDSS and BWE. This is summarized in the following proposal.</w:t>
      </w:r>
    </w:p>
    <w:p w14:paraId="6CD9F3FB" w14:textId="2130C86F" w:rsidR="00F151AB" w:rsidRDefault="00F151AB" w:rsidP="00F151AB">
      <w:pPr>
        <w:rPr>
          <w:lang w:val="en-GB"/>
        </w:rPr>
      </w:pPr>
    </w:p>
    <w:tbl>
      <w:tblPr>
        <w:tblStyle w:val="TableGrid"/>
        <w:tblW w:w="0" w:type="auto"/>
        <w:tblLook w:val="04A0" w:firstRow="1" w:lastRow="0" w:firstColumn="1" w:lastColumn="0" w:noHBand="0" w:noVBand="1"/>
      </w:tblPr>
      <w:tblGrid>
        <w:gridCol w:w="4694"/>
        <w:gridCol w:w="4656"/>
      </w:tblGrid>
      <w:tr w:rsidR="00951F72" w14:paraId="1BD3E70F" w14:textId="77777777" w:rsidTr="00951F72">
        <w:tc>
          <w:tcPr>
            <w:tcW w:w="4675" w:type="dxa"/>
          </w:tcPr>
          <w:p w14:paraId="3DF16467" w14:textId="12A4BD59" w:rsidR="00951F72" w:rsidRDefault="00951F72" w:rsidP="00321F1A">
            <w:pPr>
              <w:jc w:val="center"/>
            </w:pPr>
            <w:r>
              <w:rPr>
                <w:noProof/>
              </w:rPr>
              <w:lastRenderedPageBreak/>
              <w:drawing>
                <wp:inline distT="0" distB="0" distL="0" distR="0" wp14:anchorId="5500C4F1" wp14:editId="1C82852D">
                  <wp:extent cx="2806422" cy="2155190"/>
                  <wp:effectExtent l="0" t="0" r="0" b="0"/>
                  <wp:docPr id="84" name="Picture 8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10;&#10;Description automatically generated with low confidence"/>
                          <pic:cNvPicPr/>
                        </pic:nvPicPr>
                        <pic:blipFill>
                          <a:blip r:embed="rId27"/>
                          <a:stretch>
                            <a:fillRect/>
                          </a:stretch>
                        </pic:blipFill>
                        <pic:spPr>
                          <a:xfrm>
                            <a:off x="0" y="0"/>
                            <a:ext cx="2869986" cy="2204004"/>
                          </a:xfrm>
                          <a:prstGeom prst="rect">
                            <a:avLst/>
                          </a:prstGeom>
                        </pic:spPr>
                      </pic:pic>
                    </a:graphicData>
                  </a:graphic>
                </wp:inline>
              </w:drawing>
            </w:r>
          </w:p>
        </w:tc>
        <w:tc>
          <w:tcPr>
            <w:tcW w:w="4675" w:type="dxa"/>
          </w:tcPr>
          <w:p w14:paraId="70A59862" w14:textId="54E6E353" w:rsidR="00951F72" w:rsidRDefault="00951F72" w:rsidP="00321F1A">
            <w:pPr>
              <w:jc w:val="center"/>
            </w:pPr>
            <w:r>
              <w:rPr>
                <w:noProof/>
              </w:rPr>
              <w:drawing>
                <wp:inline distT="0" distB="0" distL="0" distR="0" wp14:anchorId="38ABCE1B" wp14:editId="5D9F1B57">
                  <wp:extent cx="2813141" cy="2155540"/>
                  <wp:effectExtent l="0" t="0" r="6350" b="0"/>
                  <wp:docPr id="85" name="Picture 8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Chart&#10;&#10;Description automatically generated with medium confidence"/>
                          <pic:cNvPicPr/>
                        </pic:nvPicPr>
                        <pic:blipFill>
                          <a:blip r:embed="rId28"/>
                          <a:stretch>
                            <a:fillRect/>
                          </a:stretch>
                        </pic:blipFill>
                        <pic:spPr>
                          <a:xfrm>
                            <a:off x="0" y="0"/>
                            <a:ext cx="2875517" cy="2203335"/>
                          </a:xfrm>
                          <a:prstGeom prst="rect">
                            <a:avLst/>
                          </a:prstGeom>
                        </pic:spPr>
                      </pic:pic>
                    </a:graphicData>
                  </a:graphic>
                </wp:inline>
              </w:drawing>
            </w:r>
          </w:p>
        </w:tc>
      </w:tr>
      <w:tr w:rsidR="00951F72" w14:paraId="727EFA7C" w14:textId="77777777" w:rsidTr="00951F72">
        <w:tc>
          <w:tcPr>
            <w:tcW w:w="4675" w:type="dxa"/>
          </w:tcPr>
          <w:p w14:paraId="2B53DCE1" w14:textId="4E74E965" w:rsidR="00951F72" w:rsidRDefault="00951F72" w:rsidP="00321F1A">
            <w:pPr>
              <w:jc w:val="center"/>
            </w:pPr>
            <w:r>
              <w:rPr>
                <w:noProof/>
              </w:rPr>
              <w:drawing>
                <wp:inline distT="0" distB="0" distL="0" distR="0" wp14:anchorId="762AAB1E" wp14:editId="65206F12">
                  <wp:extent cx="2843784" cy="2166258"/>
                  <wp:effectExtent l="0" t="0" r="0" b="5715"/>
                  <wp:docPr id="86" name="Picture 8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graphical user interface&#10;&#10;Description automatically generated"/>
                          <pic:cNvPicPr/>
                        </pic:nvPicPr>
                        <pic:blipFill>
                          <a:blip r:embed="rId29"/>
                          <a:stretch>
                            <a:fillRect/>
                          </a:stretch>
                        </pic:blipFill>
                        <pic:spPr>
                          <a:xfrm>
                            <a:off x="0" y="0"/>
                            <a:ext cx="2898022" cy="2207574"/>
                          </a:xfrm>
                          <a:prstGeom prst="rect">
                            <a:avLst/>
                          </a:prstGeom>
                        </pic:spPr>
                      </pic:pic>
                    </a:graphicData>
                  </a:graphic>
                </wp:inline>
              </w:drawing>
            </w:r>
          </w:p>
        </w:tc>
        <w:tc>
          <w:tcPr>
            <w:tcW w:w="4675" w:type="dxa"/>
          </w:tcPr>
          <w:p w14:paraId="4B4D6094" w14:textId="58563927" w:rsidR="00951F72" w:rsidRDefault="00951F72" w:rsidP="00321F1A">
            <w:pPr>
              <w:keepNext/>
              <w:jc w:val="center"/>
            </w:pPr>
            <w:r>
              <w:rPr>
                <w:noProof/>
              </w:rPr>
              <w:drawing>
                <wp:inline distT="0" distB="0" distL="0" distR="0" wp14:anchorId="7EDB7192" wp14:editId="1AC9E914">
                  <wp:extent cx="2797629" cy="2142158"/>
                  <wp:effectExtent l="0" t="0" r="3175" b="0"/>
                  <wp:docPr id="87" name="Picture 87" descr="Graphical user interfac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chart&#10;&#10;Description automatically generated with medium confidence"/>
                          <pic:cNvPicPr/>
                        </pic:nvPicPr>
                        <pic:blipFill>
                          <a:blip r:embed="rId30"/>
                          <a:stretch>
                            <a:fillRect/>
                          </a:stretch>
                        </pic:blipFill>
                        <pic:spPr>
                          <a:xfrm>
                            <a:off x="0" y="0"/>
                            <a:ext cx="2843682" cy="2177421"/>
                          </a:xfrm>
                          <a:prstGeom prst="rect">
                            <a:avLst/>
                          </a:prstGeom>
                        </pic:spPr>
                      </pic:pic>
                    </a:graphicData>
                  </a:graphic>
                </wp:inline>
              </w:drawing>
            </w:r>
          </w:p>
        </w:tc>
      </w:tr>
    </w:tbl>
    <w:p w14:paraId="678613E7" w14:textId="45C9720A" w:rsidR="00951F72" w:rsidRPr="00321F1A" w:rsidRDefault="000E681F" w:rsidP="00321F1A">
      <w:pPr>
        <w:pStyle w:val="Caption"/>
        <w:jc w:val="center"/>
        <w:rPr>
          <w:color w:val="auto"/>
        </w:rPr>
      </w:pPr>
      <w:r w:rsidRPr="00321F1A">
        <w:rPr>
          <w:color w:val="auto"/>
        </w:rPr>
        <w:t xml:space="preserve">Figure </w:t>
      </w:r>
      <w:r w:rsidRPr="00321F1A">
        <w:rPr>
          <w:color w:val="auto"/>
        </w:rPr>
        <w:fldChar w:fldCharType="begin"/>
      </w:r>
      <w:r w:rsidRPr="00321F1A">
        <w:rPr>
          <w:color w:val="auto"/>
        </w:rPr>
        <w:instrText xml:space="preserve"> SEQ Figure \* ARABIC </w:instrText>
      </w:r>
      <w:r w:rsidRPr="00321F1A">
        <w:rPr>
          <w:color w:val="auto"/>
        </w:rPr>
        <w:fldChar w:fldCharType="separate"/>
      </w:r>
      <w:r w:rsidR="00EA7EC4">
        <w:rPr>
          <w:noProof/>
          <w:color w:val="auto"/>
        </w:rPr>
        <w:t>16</w:t>
      </w:r>
      <w:r w:rsidRPr="00321F1A">
        <w:rPr>
          <w:color w:val="auto"/>
        </w:rPr>
        <w:fldChar w:fldCharType="end"/>
      </w:r>
      <w:r w:rsidRPr="00321F1A">
        <w:rPr>
          <w:color w:val="auto"/>
        </w:rPr>
        <w:t xml:space="preserve"> PAPR of DMRS waveforms with FDSS and BWE</w:t>
      </w:r>
      <w:r w:rsidR="00461540">
        <w:rPr>
          <w:color w:val="auto"/>
        </w:rPr>
        <w:t xml:space="preserve">. A </w:t>
      </w:r>
      <w:r w:rsidR="00F91981">
        <w:rPr>
          <w:color w:val="auto"/>
        </w:rPr>
        <w:t>3-tap filter is used.</w:t>
      </w:r>
    </w:p>
    <w:p w14:paraId="10B946CA" w14:textId="0426190B" w:rsidR="00F151AB" w:rsidRPr="008B4038" w:rsidRDefault="00F151AB" w:rsidP="00F151AB">
      <w:pPr>
        <w:rPr>
          <w:lang w:val="en-GB"/>
        </w:rPr>
      </w:pPr>
    </w:p>
    <w:tbl>
      <w:tblPr>
        <w:tblStyle w:val="TableGrid"/>
        <w:tblW w:w="0" w:type="auto"/>
        <w:tblLook w:val="04A0" w:firstRow="1" w:lastRow="0" w:firstColumn="1" w:lastColumn="0" w:noHBand="0" w:noVBand="1"/>
      </w:tblPr>
      <w:tblGrid>
        <w:gridCol w:w="9350"/>
      </w:tblGrid>
      <w:tr w:rsidR="00A8466A" w14:paraId="03BDACCD" w14:textId="77777777" w:rsidTr="00A8466A">
        <w:tc>
          <w:tcPr>
            <w:tcW w:w="9350" w:type="dxa"/>
          </w:tcPr>
          <w:p w14:paraId="492E4789" w14:textId="617BFE82" w:rsidR="00A8466A" w:rsidRPr="00321F1A" w:rsidRDefault="00A8466A" w:rsidP="00A8466A">
            <w:pPr>
              <w:rPr>
                <w:rFonts w:asciiTheme="minorHAnsi" w:hAnsiTheme="minorHAnsi" w:cstheme="minorHAnsi"/>
              </w:rPr>
            </w:pPr>
            <w:r w:rsidRPr="00321F1A">
              <w:rPr>
                <w:rFonts w:asciiTheme="minorHAnsi" w:hAnsiTheme="minorHAnsi" w:cstheme="minorHAnsi"/>
                <w:b/>
                <w:bCs/>
              </w:rPr>
              <w:t>Proposal</w:t>
            </w:r>
            <w:r w:rsidR="0061790C">
              <w:rPr>
                <w:rFonts w:asciiTheme="minorHAnsi" w:hAnsiTheme="minorHAnsi" w:cstheme="minorHAnsi"/>
                <w:b/>
                <w:bCs/>
              </w:rPr>
              <w:t xml:space="preserve"> </w:t>
            </w:r>
            <w:r w:rsidR="00D77300">
              <w:rPr>
                <w:rFonts w:asciiTheme="minorHAnsi" w:hAnsiTheme="minorHAnsi" w:cstheme="minorHAnsi"/>
                <w:b/>
                <w:bCs/>
              </w:rPr>
              <w:t>4</w:t>
            </w:r>
            <w:r w:rsidRPr="00321F1A">
              <w:rPr>
                <w:rFonts w:asciiTheme="minorHAnsi" w:hAnsiTheme="minorHAnsi" w:cstheme="minorHAnsi"/>
                <w:b/>
                <w:bCs/>
              </w:rPr>
              <w:t>:</w:t>
            </w:r>
            <w:r w:rsidRPr="00321F1A">
              <w:rPr>
                <w:rFonts w:asciiTheme="minorHAnsi" w:hAnsiTheme="minorHAnsi" w:cstheme="minorHAnsi"/>
              </w:rPr>
              <w:t xml:space="preserve"> If FDSS with BWE is specified and it is agreed to be supported using low-PAPR Type 1 DMRS, at least for RB allocations &gt; 4 RB, </w:t>
            </w:r>
            <w:r w:rsidR="008150A5">
              <w:rPr>
                <w:rFonts w:asciiTheme="minorHAnsi" w:hAnsiTheme="minorHAnsi" w:cstheme="minorHAnsi"/>
              </w:rPr>
              <w:t xml:space="preserve">generate </w:t>
            </w:r>
            <w:r w:rsidR="00A57A1B">
              <w:rPr>
                <w:rFonts w:asciiTheme="minorHAnsi" w:hAnsiTheme="minorHAnsi" w:cstheme="minorHAnsi"/>
              </w:rPr>
              <w:t xml:space="preserve">the DMRS sequence </w:t>
            </w:r>
            <w:r w:rsidR="00184AE3">
              <w:rPr>
                <w:rFonts w:asciiTheme="minorHAnsi" w:hAnsiTheme="minorHAnsi" w:cstheme="minorHAnsi"/>
              </w:rPr>
              <w:t>using a</w:t>
            </w:r>
            <w:r w:rsidRPr="00321F1A">
              <w:rPr>
                <w:rFonts w:asciiTheme="minorHAnsi" w:hAnsiTheme="minorHAnsi" w:cstheme="minorHAnsi"/>
              </w:rPr>
              <w:t xml:space="preserve"> ZC sequence </w:t>
            </w:r>
            <w:r w:rsidR="00184AE3">
              <w:rPr>
                <w:rFonts w:asciiTheme="minorHAnsi" w:hAnsiTheme="minorHAnsi" w:cstheme="minorHAnsi"/>
              </w:rPr>
              <w:t xml:space="preserve">that </w:t>
            </w:r>
            <w:r w:rsidRPr="00321F1A">
              <w:rPr>
                <w:rFonts w:asciiTheme="minorHAnsi" w:hAnsiTheme="minorHAnsi" w:cstheme="minorHAnsi"/>
              </w:rPr>
              <w:t xml:space="preserve">is cyclically extended to span the excess RBs before being mapped to tones. </w:t>
            </w:r>
          </w:p>
          <w:p w14:paraId="67B772D8" w14:textId="2950B694" w:rsidR="00A8466A" w:rsidRPr="00933F9C" w:rsidRDefault="00A8466A" w:rsidP="004D36C0">
            <w:pPr>
              <w:pStyle w:val="ListParagraph"/>
              <w:numPr>
                <w:ilvl w:val="0"/>
                <w:numId w:val="46"/>
              </w:numPr>
              <w:rPr>
                <w:rFonts w:asciiTheme="minorHAnsi" w:hAnsiTheme="minorHAnsi" w:cstheme="minorHAnsi"/>
              </w:rPr>
            </w:pPr>
            <w:r w:rsidRPr="00321F1A">
              <w:rPr>
                <w:rFonts w:asciiTheme="minorHAnsi" w:hAnsiTheme="minorHAnsi" w:cstheme="minorHAnsi"/>
              </w:rPr>
              <w:t>Note: This method of cyclic extension for DMRS symbol differs from that of data symbols.</w:t>
            </w:r>
          </w:p>
        </w:tc>
      </w:tr>
    </w:tbl>
    <w:p w14:paraId="3793182E" w14:textId="65A096A1" w:rsidR="00F151AB" w:rsidRPr="00321F1A" w:rsidRDefault="00F151AB" w:rsidP="00F151AB">
      <w:pPr>
        <w:rPr>
          <w:lang w:val="en-GB"/>
        </w:rPr>
      </w:pPr>
    </w:p>
    <w:p w14:paraId="5EF4476C" w14:textId="1FC56446" w:rsidR="00F151AB" w:rsidRDefault="00F151AB" w:rsidP="00053B58">
      <w:pPr>
        <w:pStyle w:val="Heading4"/>
      </w:pPr>
      <w:r>
        <w:t>Link-level Performance Comparisons</w:t>
      </w:r>
      <w:r w:rsidR="00A8466A">
        <w:t xml:space="preserve"> between Type 1 and Type 2 DMRS</w:t>
      </w:r>
    </w:p>
    <w:p w14:paraId="40DD1D97" w14:textId="61FB31AA" w:rsidR="006C5AF7" w:rsidRPr="00321F1A" w:rsidRDefault="006C5AF7" w:rsidP="00321F1A">
      <w:pPr>
        <w:jc w:val="both"/>
        <w:rPr>
          <w:lang w:val="en-GB"/>
        </w:rPr>
      </w:pPr>
      <w:r>
        <w:rPr>
          <w:lang w:val="en-GB"/>
        </w:rPr>
        <w:t>As mentioned earlier, Type 1 and Type 2 DMRS differ in how the power is distributed in frequency domain. Type 1 DMRS distributes power uniformly, while Type 2 DMRS, due to its time-first design, results in a non-uniform distribution. Thus, there could be some concerns around</w:t>
      </w:r>
      <w:r w:rsidR="0005546B">
        <w:rPr>
          <w:lang w:val="en-GB"/>
        </w:rPr>
        <w:t xml:space="preserve"> the performance of realistic channel estimation using Type 2 DMRS compared to Type 1 DMRS. I</w:t>
      </w:r>
      <w:r w:rsidR="00FA69A4">
        <w:rPr>
          <w:lang w:val="en-GB"/>
        </w:rPr>
        <w:t>t is prudent to examine whether there is any</w:t>
      </w:r>
      <w:r w:rsidR="0005546B">
        <w:rPr>
          <w:lang w:val="en-GB"/>
        </w:rPr>
        <w:t xml:space="preserve"> significant performance difference i</w:t>
      </w:r>
      <w:r w:rsidR="00FA69A4">
        <w:rPr>
          <w:lang w:val="en-GB"/>
        </w:rPr>
        <w:t xml:space="preserve">n </w:t>
      </w:r>
      <w:r w:rsidR="0005546B">
        <w:rPr>
          <w:lang w:val="en-GB"/>
        </w:rPr>
        <w:t xml:space="preserve">link performance </w:t>
      </w:r>
      <w:r w:rsidR="00FA69A4">
        <w:rPr>
          <w:lang w:val="en-GB"/>
        </w:rPr>
        <w:t xml:space="preserve">when using </w:t>
      </w:r>
      <w:r w:rsidR="0005546B">
        <w:rPr>
          <w:lang w:val="en-GB"/>
        </w:rPr>
        <w:t xml:space="preserve">two </w:t>
      </w:r>
      <w:r w:rsidR="00FA69A4">
        <w:rPr>
          <w:lang w:val="en-GB"/>
        </w:rPr>
        <w:t xml:space="preserve">DMRS </w:t>
      </w:r>
      <w:r w:rsidR="001372B0">
        <w:rPr>
          <w:lang w:val="en-GB"/>
        </w:rPr>
        <w:t xml:space="preserve">types. From </w:t>
      </w:r>
      <w:r w:rsidR="004E48D8">
        <w:rPr>
          <w:lang w:val="en-GB"/>
        </w:rPr>
        <w:fldChar w:fldCharType="begin"/>
      </w:r>
      <w:r w:rsidR="004E48D8">
        <w:rPr>
          <w:lang w:val="en-GB"/>
        </w:rPr>
        <w:instrText xml:space="preserve"> REF _Ref127521795 \h </w:instrText>
      </w:r>
      <w:r w:rsidR="00E93192">
        <w:rPr>
          <w:lang w:val="en-GB"/>
        </w:rPr>
        <w:instrText xml:space="preserve"> \* MERGEFORMAT </w:instrText>
      </w:r>
      <w:r w:rsidR="004E48D8">
        <w:rPr>
          <w:lang w:val="en-GB"/>
        </w:rPr>
      </w:r>
      <w:r w:rsidR="004E48D8">
        <w:rPr>
          <w:lang w:val="en-GB"/>
        </w:rPr>
        <w:fldChar w:fldCharType="separate"/>
      </w:r>
      <w:r w:rsidR="00EA7EC4">
        <w:t xml:space="preserve">Figure </w:t>
      </w:r>
      <w:r w:rsidR="00EA7EC4">
        <w:rPr>
          <w:noProof/>
        </w:rPr>
        <w:t>17</w:t>
      </w:r>
      <w:r w:rsidR="004E48D8">
        <w:rPr>
          <w:lang w:val="en-GB"/>
        </w:rPr>
        <w:fldChar w:fldCharType="end"/>
      </w:r>
      <w:r w:rsidR="004E48D8">
        <w:rPr>
          <w:lang w:val="en-GB"/>
        </w:rPr>
        <w:t xml:space="preserve">, </w:t>
      </w:r>
      <w:r w:rsidR="004E48D8">
        <w:rPr>
          <w:lang w:val="en-GB"/>
        </w:rPr>
        <w:fldChar w:fldCharType="begin"/>
      </w:r>
      <w:r w:rsidR="004E48D8">
        <w:rPr>
          <w:lang w:val="en-GB"/>
        </w:rPr>
        <w:instrText xml:space="preserve"> REF _Ref127521800 \h </w:instrText>
      </w:r>
      <w:r w:rsidR="00E93192">
        <w:rPr>
          <w:lang w:val="en-GB"/>
        </w:rPr>
        <w:instrText xml:space="preserve"> \* MERGEFORMAT </w:instrText>
      </w:r>
      <w:r w:rsidR="004E48D8">
        <w:rPr>
          <w:lang w:val="en-GB"/>
        </w:rPr>
      </w:r>
      <w:r w:rsidR="004E48D8">
        <w:rPr>
          <w:lang w:val="en-GB"/>
        </w:rPr>
        <w:fldChar w:fldCharType="separate"/>
      </w:r>
      <w:r w:rsidR="00EA7EC4">
        <w:t xml:space="preserve">Figure </w:t>
      </w:r>
      <w:r w:rsidR="00EA7EC4">
        <w:rPr>
          <w:noProof/>
        </w:rPr>
        <w:t>18</w:t>
      </w:r>
      <w:r w:rsidR="004E48D8">
        <w:rPr>
          <w:lang w:val="en-GB"/>
        </w:rPr>
        <w:fldChar w:fldCharType="end"/>
      </w:r>
      <w:r w:rsidR="004E48D8">
        <w:rPr>
          <w:lang w:val="en-GB"/>
        </w:rPr>
        <w:t xml:space="preserve">, and </w:t>
      </w:r>
      <w:r w:rsidR="004E48D8">
        <w:rPr>
          <w:lang w:val="en-GB"/>
        </w:rPr>
        <w:fldChar w:fldCharType="begin"/>
      </w:r>
      <w:r w:rsidR="004E48D8">
        <w:rPr>
          <w:lang w:val="en-GB"/>
        </w:rPr>
        <w:instrText xml:space="preserve"> REF _Ref127521803 \h </w:instrText>
      </w:r>
      <w:r w:rsidR="00E93192">
        <w:rPr>
          <w:lang w:val="en-GB"/>
        </w:rPr>
        <w:instrText xml:space="preserve"> \* MERGEFORMAT </w:instrText>
      </w:r>
      <w:r w:rsidR="004E48D8">
        <w:rPr>
          <w:lang w:val="en-GB"/>
        </w:rPr>
      </w:r>
      <w:r w:rsidR="004E48D8">
        <w:rPr>
          <w:lang w:val="en-GB"/>
        </w:rPr>
        <w:fldChar w:fldCharType="separate"/>
      </w:r>
      <w:r w:rsidR="00EA7EC4">
        <w:t xml:space="preserve">Figure </w:t>
      </w:r>
      <w:r w:rsidR="00EA7EC4">
        <w:rPr>
          <w:noProof/>
        </w:rPr>
        <w:t>19</w:t>
      </w:r>
      <w:r w:rsidR="004E48D8">
        <w:rPr>
          <w:lang w:val="en-GB"/>
        </w:rPr>
        <w:fldChar w:fldCharType="end"/>
      </w:r>
      <w:r w:rsidR="00FA69A4">
        <w:rPr>
          <w:lang w:val="en-GB"/>
        </w:rPr>
        <w:t>,</w:t>
      </w:r>
      <w:r w:rsidR="004E48D8">
        <w:rPr>
          <w:lang w:val="en-GB"/>
        </w:rPr>
        <w:t xml:space="preserve"> it can be seen</w:t>
      </w:r>
      <w:r w:rsidR="00FA69A4">
        <w:rPr>
          <w:lang w:val="en-GB"/>
        </w:rPr>
        <w:t xml:space="preserve"> </w:t>
      </w:r>
      <w:r w:rsidR="008405BE">
        <w:rPr>
          <w:lang w:val="en-GB"/>
        </w:rPr>
        <w:t>that there is little to no performance difference when using either of the two DMRS types.</w:t>
      </w:r>
    </w:p>
    <w:p w14:paraId="28C0EE05" w14:textId="77777777" w:rsidR="00967C5E" w:rsidRDefault="005060C4" w:rsidP="00321F1A">
      <w:pPr>
        <w:keepNext/>
        <w:jc w:val="center"/>
      </w:pPr>
      <w:r>
        <w:rPr>
          <w:noProof/>
        </w:rPr>
        <w:lastRenderedPageBreak/>
        <w:drawing>
          <wp:inline distT="0" distB="0" distL="0" distR="0" wp14:anchorId="11A6480E" wp14:editId="33DAEE02">
            <wp:extent cx="4120046" cy="3529330"/>
            <wp:effectExtent l="0" t="0" r="0" b="0"/>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pic:nvPicPr>
                  <pic:blipFill>
                    <a:blip r:embed="rId31"/>
                    <a:stretch>
                      <a:fillRect/>
                    </a:stretch>
                  </pic:blipFill>
                  <pic:spPr>
                    <a:xfrm>
                      <a:off x="0" y="0"/>
                      <a:ext cx="4121093" cy="3530227"/>
                    </a:xfrm>
                    <a:prstGeom prst="rect">
                      <a:avLst/>
                    </a:prstGeom>
                  </pic:spPr>
                </pic:pic>
              </a:graphicData>
            </a:graphic>
          </wp:inline>
        </w:drawing>
      </w:r>
    </w:p>
    <w:p w14:paraId="5657E313" w14:textId="7E3A311E" w:rsidR="00F151AB" w:rsidRDefault="00967C5E" w:rsidP="00321F1A">
      <w:pPr>
        <w:pStyle w:val="Caption"/>
        <w:jc w:val="center"/>
      </w:pPr>
      <w:bookmarkStart w:id="20" w:name="_Ref127521795"/>
      <w:r>
        <w:t xml:space="preserve">Figure </w:t>
      </w:r>
      <w:r>
        <w:fldChar w:fldCharType="begin"/>
      </w:r>
      <w:r>
        <w:instrText xml:space="preserve"> SEQ Figure \* ARABIC </w:instrText>
      </w:r>
      <w:r>
        <w:fldChar w:fldCharType="separate"/>
      </w:r>
      <w:r w:rsidR="00EA7EC4">
        <w:rPr>
          <w:noProof/>
        </w:rPr>
        <w:t>17</w:t>
      </w:r>
      <w:r>
        <w:fldChar w:fldCharType="end"/>
      </w:r>
      <w:bookmarkEnd w:id="20"/>
      <w:r>
        <w:t xml:space="preserve"> </w:t>
      </w:r>
      <w:r w:rsidRPr="00D52192">
        <w:t>Baseline comparison to assess value FDSS</w:t>
      </w:r>
      <w:r w:rsidR="00F03AF4">
        <w:t xml:space="preserve"> (3-tap)</w:t>
      </w:r>
      <w:r w:rsidRPr="00D52192">
        <w:t xml:space="preserve"> with </w:t>
      </w:r>
      <w:r w:rsidR="000F414E">
        <w:t>a total of 16 RBs with</w:t>
      </w:r>
      <w:r w:rsidRPr="00D52192">
        <w:t xml:space="preserve"> 2 excess RBs.  The case with excess RBs is compared against the case where excess RBs are used towards data allocation.</w:t>
      </w:r>
      <w:r w:rsidR="000F414E">
        <w:t xml:space="preserve"> Results with Type 1 and Type 2 DMRS are presented.</w:t>
      </w:r>
    </w:p>
    <w:p w14:paraId="43A0B796" w14:textId="77777777" w:rsidR="002C07B9" w:rsidRDefault="001E6E2D" w:rsidP="00321F1A">
      <w:pPr>
        <w:keepNext/>
        <w:jc w:val="center"/>
      </w:pPr>
      <w:r>
        <w:rPr>
          <w:noProof/>
        </w:rPr>
        <w:drawing>
          <wp:inline distT="0" distB="0" distL="0" distR="0" wp14:anchorId="47BF5484" wp14:editId="1FF60547">
            <wp:extent cx="4361765" cy="3782060"/>
            <wp:effectExtent l="0" t="0" r="1270" b="8890"/>
            <wp:docPr id="102" name="Picture 1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10;&#10;Description automatically generated"/>
                    <pic:cNvPicPr/>
                  </pic:nvPicPr>
                  <pic:blipFill>
                    <a:blip r:embed="rId32"/>
                    <a:stretch>
                      <a:fillRect/>
                    </a:stretch>
                  </pic:blipFill>
                  <pic:spPr>
                    <a:xfrm>
                      <a:off x="0" y="0"/>
                      <a:ext cx="4367092" cy="3786679"/>
                    </a:xfrm>
                    <a:prstGeom prst="rect">
                      <a:avLst/>
                    </a:prstGeom>
                  </pic:spPr>
                </pic:pic>
              </a:graphicData>
            </a:graphic>
          </wp:inline>
        </w:drawing>
      </w:r>
    </w:p>
    <w:p w14:paraId="506E69F2" w14:textId="157645E5" w:rsidR="001E6E2D" w:rsidRDefault="002C07B9" w:rsidP="00321F1A">
      <w:pPr>
        <w:pStyle w:val="Caption"/>
        <w:jc w:val="center"/>
      </w:pPr>
      <w:bookmarkStart w:id="21" w:name="_Ref127521800"/>
      <w:r>
        <w:t xml:space="preserve">Figure </w:t>
      </w:r>
      <w:r>
        <w:fldChar w:fldCharType="begin"/>
      </w:r>
      <w:r>
        <w:instrText xml:space="preserve"> SEQ Figure \* ARABIC </w:instrText>
      </w:r>
      <w:r>
        <w:fldChar w:fldCharType="separate"/>
      </w:r>
      <w:r w:rsidR="00EA7EC4">
        <w:rPr>
          <w:noProof/>
        </w:rPr>
        <w:t>18</w:t>
      </w:r>
      <w:r>
        <w:fldChar w:fldCharType="end"/>
      </w:r>
      <w:bookmarkEnd w:id="21"/>
      <w:r>
        <w:t xml:space="preserve"> </w:t>
      </w:r>
      <w:r w:rsidRPr="005B348C">
        <w:t>Baseline comparison to assess value FDSS</w:t>
      </w:r>
      <w:r w:rsidR="00F03AF4">
        <w:t xml:space="preserve"> (3-tap)</w:t>
      </w:r>
      <w:r w:rsidRPr="005B348C">
        <w:t xml:space="preserve"> with a total of </w:t>
      </w:r>
      <w:r>
        <w:t>8</w:t>
      </w:r>
      <w:r w:rsidRPr="005B348C">
        <w:t xml:space="preserve"> RBs with 2 excess RBs.  The case with excess RBs is compared against the case where excess RBs are used towards data allocation. Results with Type 1 and Type 2 DMRS are presented.</w:t>
      </w:r>
    </w:p>
    <w:p w14:paraId="07C3E407" w14:textId="77777777" w:rsidR="002C07B9" w:rsidRDefault="00967C5E" w:rsidP="00321F1A">
      <w:pPr>
        <w:keepNext/>
        <w:jc w:val="center"/>
      </w:pPr>
      <w:r>
        <w:rPr>
          <w:noProof/>
        </w:rPr>
        <w:lastRenderedPageBreak/>
        <w:drawing>
          <wp:inline distT="0" distB="0" distL="0" distR="0" wp14:anchorId="624FA098" wp14:editId="38F422F0">
            <wp:extent cx="4613166" cy="3919220"/>
            <wp:effectExtent l="0" t="0" r="0" b="5080"/>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10;&#10;Description automatically generated"/>
                    <pic:cNvPicPr/>
                  </pic:nvPicPr>
                  <pic:blipFill>
                    <a:blip r:embed="rId33"/>
                    <a:stretch>
                      <a:fillRect/>
                    </a:stretch>
                  </pic:blipFill>
                  <pic:spPr>
                    <a:xfrm>
                      <a:off x="0" y="0"/>
                      <a:ext cx="4624122" cy="3928528"/>
                    </a:xfrm>
                    <a:prstGeom prst="rect">
                      <a:avLst/>
                    </a:prstGeom>
                  </pic:spPr>
                </pic:pic>
              </a:graphicData>
            </a:graphic>
          </wp:inline>
        </w:drawing>
      </w:r>
    </w:p>
    <w:p w14:paraId="0324C228" w14:textId="4D05D957" w:rsidR="001E6E2D" w:rsidRDefault="002C07B9" w:rsidP="002C07B9">
      <w:pPr>
        <w:pStyle w:val="Caption"/>
        <w:jc w:val="center"/>
      </w:pPr>
      <w:bookmarkStart w:id="22" w:name="_Ref127521803"/>
      <w:r>
        <w:t xml:space="preserve">Figure </w:t>
      </w:r>
      <w:r>
        <w:fldChar w:fldCharType="begin"/>
      </w:r>
      <w:r>
        <w:instrText xml:space="preserve"> SEQ Figure \* ARABIC </w:instrText>
      </w:r>
      <w:r>
        <w:fldChar w:fldCharType="separate"/>
      </w:r>
      <w:r w:rsidR="00EA7EC4">
        <w:rPr>
          <w:noProof/>
        </w:rPr>
        <w:t>19</w:t>
      </w:r>
      <w:r>
        <w:fldChar w:fldCharType="end"/>
      </w:r>
      <w:bookmarkEnd w:id="22"/>
      <w:r>
        <w:t xml:space="preserve"> </w:t>
      </w:r>
      <w:r w:rsidRPr="00B472ED">
        <w:t>Baseline comparison to assess value FDSS</w:t>
      </w:r>
      <w:r w:rsidR="00F03AF4">
        <w:t xml:space="preserve"> (3-tap)</w:t>
      </w:r>
      <w:r w:rsidRPr="00B472ED">
        <w:t xml:space="preserve"> with a total of </w:t>
      </w:r>
      <w:r w:rsidR="00A51480">
        <w:t>40</w:t>
      </w:r>
      <w:r w:rsidRPr="00B472ED">
        <w:t xml:space="preserve"> RBs with </w:t>
      </w:r>
      <w:r w:rsidR="00243F84">
        <w:t>10</w:t>
      </w:r>
      <w:r w:rsidRPr="00B472ED">
        <w:t xml:space="preserve"> excess RBs.  The case with excess RBs is compared against the case where excess RBs are used towards data allocation. Results with Type 1 and Type 2 DMRS are presented.</w:t>
      </w:r>
    </w:p>
    <w:p w14:paraId="5231C500" w14:textId="77777777" w:rsidR="00E93192" w:rsidRDefault="00E93192" w:rsidP="00936647">
      <w:pPr>
        <w:jc w:val="both"/>
        <w:rPr>
          <w:b/>
          <w:bCs/>
        </w:rPr>
      </w:pPr>
    </w:p>
    <w:p w14:paraId="181B6CB2" w14:textId="71F8E403" w:rsidR="00E93192" w:rsidRPr="00321F1A" w:rsidRDefault="00E93192" w:rsidP="00936647">
      <w:pPr>
        <w:jc w:val="both"/>
      </w:pPr>
      <w:r w:rsidRPr="00321F1A">
        <w:t>Based on these results, we make the following proposal:</w:t>
      </w:r>
    </w:p>
    <w:tbl>
      <w:tblPr>
        <w:tblStyle w:val="TableGrid"/>
        <w:tblW w:w="0" w:type="auto"/>
        <w:tblLook w:val="04A0" w:firstRow="1" w:lastRow="0" w:firstColumn="1" w:lastColumn="0" w:noHBand="0" w:noVBand="1"/>
      </w:tblPr>
      <w:tblGrid>
        <w:gridCol w:w="9350"/>
      </w:tblGrid>
      <w:tr w:rsidR="00E93192" w14:paraId="74FC486E" w14:textId="77777777" w:rsidTr="00E93192">
        <w:tc>
          <w:tcPr>
            <w:tcW w:w="9350" w:type="dxa"/>
          </w:tcPr>
          <w:p w14:paraId="40D0B041" w14:textId="5B2137C4" w:rsidR="00E93192" w:rsidRDefault="00E93192" w:rsidP="00E93192">
            <w:pPr>
              <w:jc w:val="both"/>
            </w:pPr>
            <w:r w:rsidRPr="008B4038">
              <w:rPr>
                <w:b/>
                <w:bCs/>
              </w:rPr>
              <w:t>Proposal</w:t>
            </w:r>
            <w:r w:rsidR="0061790C">
              <w:rPr>
                <w:b/>
                <w:bCs/>
              </w:rPr>
              <w:t xml:space="preserve"> </w:t>
            </w:r>
            <w:r w:rsidR="00D77300">
              <w:rPr>
                <w:b/>
                <w:bCs/>
              </w:rPr>
              <w:t>5</w:t>
            </w:r>
            <w:r>
              <w:t xml:space="preserve">: If FDSS with BWE is specified, existing 5G NR Type 2 (pi/2 BPSK) DMRS can be reused with similar bandwidth expansion and FDSS as data symbols. </w:t>
            </w:r>
          </w:p>
          <w:p w14:paraId="0BF5EFC6" w14:textId="20B80966" w:rsidR="00E93192" w:rsidRDefault="00E93192" w:rsidP="004D36C0">
            <w:pPr>
              <w:pStyle w:val="ListParagraph"/>
              <w:numPr>
                <w:ilvl w:val="0"/>
                <w:numId w:val="29"/>
              </w:numPr>
              <w:jc w:val="both"/>
              <w:rPr>
                <w:b/>
                <w:bCs/>
              </w:rPr>
            </w:pPr>
            <w:r w:rsidRPr="008B4038">
              <w:t xml:space="preserve">For </w:t>
            </w:r>
            <m:oMath>
              <m:r>
                <w:rPr>
                  <w:rFonts w:ascii="Cambria Math" w:hAnsi="Cambria Math" w:hint="eastAsia"/>
                </w:rPr>
                <m:t>≥</m:t>
              </m:r>
              <m:r>
                <w:rPr>
                  <w:rFonts w:ascii="Cambria Math" w:hAnsi="Cambria Math"/>
                </w:rPr>
                <m:t>5</m:t>
              </m:r>
            </m:oMath>
            <w:r w:rsidRPr="008B4038">
              <w:t xml:space="preserve"> RB allocations, another alternative is to reuse Type 1 (ZC-based) DMRS with cyclic extension of the ZC sequence</w:t>
            </w:r>
            <w:r w:rsidR="00642606">
              <w:t xml:space="preserve"> prior to tone mapping</w:t>
            </w:r>
            <w:r w:rsidR="00347AAD">
              <w:t>,</w:t>
            </w:r>
            <w:r w:rsidRPr="008B4038">
              <w:t xml:space="preserve"> followed by FDSS.</w:t>
            </w:r>
          </w:p>
        </w:tc>
      </w:tr>
    </w:tbl>
    <w:p w14:paraId="2FFF79F5" w14:textId="2E0DF512" w:rsidR="00585845" w:rsidRDefault="00585845" w:rsidP="00942058">
      <w:pPr>
        <w:overflowPunct/>
        <w:autoSpaceDE/>
        <w:autoSpaceDN/>
        <w:adjustRightInd/>
        <w:spacing w:after="0"/>
        <w:jc w:val="both"/>
        <w:textAlignment w:val="auto"/>
        <w:rPr>
          <w:rFonts w:ascii="Calibri" w:eastAsia="Times New Roman" w:hAnsi="Calibri" w:cs="Calibri"/>
          <w:sz w:val="22"/>
          <w:szCs w:val="22"/>
        </w:rPr>
      </w:pPr>
    </w:p>
    <w:p w14:paraId="687F85BC" w14:textId="5038E432" w:rsidR="006A1EE0" w:rsidRDefault="006A1EE0" w:rsidP="002E1C37">
      <w:pPr>
        <w:pStyle w:val="Heading4"/>
      </w:pPr>
      <w:r>
        <w:t>Type 1 DMRS</w:t>
      </w:r>
      <w:r w:rsidR="0007258B">
        <w:t xml:space="preserve"> Design</w:t>
      </w:r>
      <w:r>
        <w:t xml:space="preserve"> </w:t>
      </w:r>
      <w:r w:rsidR="0007258B">
        <w:t>for &lt; 5 RB allocations</w:t>
      </w:r>
    </w:p>
    <w:p w14:paraId="31972B8E" w14:textId="6124B15D" w:rsidR="0007258B" w:rsidRDefault="002E1C37" w:rsidP="0007258B">
      <w:pPr>
        <w:rPr>
          <w:lang w:val="en-GB"/>
        </w:rPr>
      </w:pPr>
      <w:r>
        <w:rPr>
          <w:lang w:val="en-GB"/>
        </w:rPr>
        <w:t xml:space="preserve">As noted earlier, </w:t>
      </w:r>
      <w:r w:rsidR="007B79CB">
        <w:rPr>
          <w:lang w:val="en-GB"/>
        </w:rPr>
        <w:t xml:space="preserve">Type 1 DMRS with CGS </w:t>
      </w:r>
      <w:r w:rsidR="001678BE">
        <w:rPr>
          <w:lang w:val="en-GB"/>
        </w:rPr>
        <w:t>does not show good waveform characteristics when paired with FDSS and BW expansion</w:t>
      </w:r>
      <w:r w:rsidR="00D12BC2">
        <w:rPr>
          <w:lang w:val="en-GB"/>
        </w:rPr>
        <w:t xml:space="preserve"> (See </w:t>
      </w:r>
      <w:r w:rsidR="00D12BC2">
        <w:rPr>
          <w:lang w:val="en-GB"/>
        </w:rPr>
        <w:fldChar w:fldCharType="begin"/>
      </w:r>
      <w:r w:rsidR="00D12BC2">
        <w:rPr>
          <w:lang w:val="en-GB"/>
        </w:rPr>
        <w:instrText xml:space="preserve"> REF _Ref131714649 \h </w:instrText>
      </w:r>
      <w:r w:rsidR="00D12BC2">
        <w:rPr>
          <w:lang w:val="en-GB"/>
        </w:rPr>
      </w:r>
      <w:r w:rsidR="00D12BC2">
        <w:rPr>
          <w:lang w:val="en-GB"/>
        </w:rPr>
        <w:fldChar w:fldCharType="separate"/>
      </w:r>
      <w:r w:rsidR="00EA7EC4">
        <w:t xml:space="preserve">Figure </w:t>
      </w:r>
      <w:r w:rsidR="00EA7EC4">
        <w:rPr>
          <w:noProof/>
        </w:rPr>
        <w:t>20</w:t>
      </w:r>
      <w:r w:rsidR="00D12BC2">
        <w:rPr>
          <w:lang w:val="en-GB"/>
        </w:rPr>
        <w:fldChar w:fldCharType="end"/>
      </w:r>
      <w:r w:rsidR="00D12BC2">
        <w:rPr>
          <w:lang w:val="en-GB"/>
        </w:rPr>
        <w:t>)</w:t>
      </w:r>
      <w:r w:rsidR="001678BE">
        <w:rPr>
          <w:lang w:val="en-GB"/>
        </w:rPr>
        <w:t xml:space="preserve">. </w:t>
      </w:r>
      <w:r w:rsidR="00DF0F8C">
        <w:rPr>
          <w:lang w:val="en-GB"/>
        </w:rPr>
        <w:t>This motivates us to consider potential alternatives to the existing</w:t>
      </w:r>
      <w:r w:rsidR="00B74E22">
        <w:rPr>
          <w:lang w:val="en-GB"/>
        </w:rPr>
        <w:t xml:space="preserve"> set of CGS</w:t>
      </w:r>
      <w:r w:rsidR="0097593D">
        <w:rPr>
          <w:lang w:val="en-GB"/>
        </w:rPr>
        <w:t xml:space="preserve"> used for Type 1 DMRS</w:t>
      </w:r>
      <w:r w:rsidR="00B74E22">
        <w:rPr>
          <w:lang w:val="en-GB"/>
        </w:rPr>
        <w:t xml:space="preserve">. </w:t>
      </w:r>
    </w:p>
    <w:p w14:paraId="45B55558" w14:textId="77777777" w:rsidR="00022197" w:rsidRDefault="0018496C" w:rsidP="00022197">
      <w:pPr>
        <w:keepNext/>
        <w:jc w:val="center"/>
      </w:pPr>
      <w:r>
        <w:rPr>
          <w:noProof/>
        </w:rPr>
        <w:lastRenderedPageBreak/>
        <w:drawing>
          <wp:inline distT="0" distB="0" distL="0" distR="0" wp14:anchorId="1B6F7D8F" wp14:editId="6D1DC4E8">
            <wp:extent cx="4082415" cy="3135088"/>
            <wp:effectExtent l="0" t="0" r="0" b="8255"/>
            <wp:docPr id="5" name="Picture 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10;&#10;Description automatically generated with low confidence"/>
                    <pic:cNvPicPr/>
                  </pic:nvPicPr>
                  <pic:blipFill>
                    <a:blip r:embed="rId27"/>
                    <a:stretch>
                      <a:fillRect/>
                    </a:stretch>
                  </pic:blipFill>
                  <pic:spPr>
                    <a:xfrm>
                      <a:off x="0" y="0"/>
                      <a:ext cx="4188083" cy="3216235"/>
                    </a:xfrm>
                    <a:prstGeom prst="rect">
                      <a:avLst/>
                    </a:prstGeom>
                  </pic:spPr>
                </pic:pic>
              </a:graphicData>
            </a:graphic>
          </wp:inline>
        </w:drawing>
      </w:r>
    </w:p>
    <w:p w14:paraId="12DC0BD1" w14:textId="3A9E2DEA" w:rsidR="0018496C" w:rsidRDefault="00022197" w:rsidP="00022197">
      <w:pPr>
        <w:pStyle w:val="Caption"/>
        <w:jc w:val="center"/>
      </w:pPr>
      <w:bookmarkStart w:id="23" w:name="_Ref131714649"/>
      <w:r>
        <w:t xml:space="preserve">Figure </w:t>
      </w:r>
      <w:r>
        <w:fldChar w:fldCharType="begin"/>
      </w:r>
      <w:r>
        <w:instrText xml:space="preserve"> SEQ Figure \* ARABIC </w:instrText>
      </w:r>
      <w:r>
        <w:fldChar w:fldCharType="separate"/>
      </w:r>
      <w:r w:rsidR="00EA7EC4">
        <w:rPr>
          <w:noProof/>
        </w:rPr>
        <w:t>20</w:t>
      </w:r>
      <w:r>
        <w:fldChar w:fldCharType="end"/>
      </w:r>
      <w:bookmarkEnd w:id="23"/>
      <w:r>
        <w:t xml:space="preserve"> CGS for Type 1 DMRS does not have </w:t>
      </w:r>
      <w:r w:rsidR="001D1D47">
        <w:t xml:space="preserve">same PAPR characteristics as data </w:t>
      </w:r>
      <w:r w:rsidR="00D12BC2">
        <w:t xml:space="preserve">when combined </w:t>
      </w:r>
      <w:r>
        <w:t>with FDSS and BWE.</w:t>
      </w:r>
    </w:p>
    <w:p w14:paraId="7190A8FF" w14:textId="4F01AECA" w:rsidR="00AD6A4F" w:rsidRDefault="00AD6A4F" w:rsidP="009C5028">
      <w:pPr>
        <w:jc w:val="both"/>
        <w:rPr>
          <w:lang w:val="en-GB"/>
        </w:rPr>
      </w:pPr>
      <w:r>
        <w:rPr>
          <w:lang w:val="en-GB"/>
        </w:rPr>
        <w:t>Note that for &lt; 5 RB allocations</w:t>
      </w:r>
      <w:r w:rsidR="008711D3">
        <w:rPr>
          <w:lang w:val="en-GB"/>
        </w:rPr>
        <w:t xml:space="preserve"> computer generated sequences are used for Type 1 DMRS instead of Zadoff-Chu sequences. One of the primary reasons for </w:t>
      </w:r>
      <w:r w:rsidR="00D27514">
        <w:rPr>
          <w:lang w:val="en-GB"/>
        </w:rPr>
        <w:t xml:space="preserve">this choice is due to the fact that we require at least 30 </w:t>
      </w:r>
      <w:r w:rsidR="00B74E22">
        <w:rPr>
          <w:lang w:val="en-GB"/>
        </w:rPr>
        <w:t xml:space="preserve">DMRS </w:t>
      </w:r>
      <w:r w:rsidR="00D27514">
        <w:rPr>
          <w:lang w:val="en-GB"/>
        </w:rPr>
        <w:t xml:space="preserve">sequences </w:t>
      </w:r>
      <w:r w:rsidR="00B74E22">
        <w:rPr>
          <w:lang w:val="en-GB"/>
        </w:rPr>
        <w:t xml:space="preserve">for each RB allocation size </w:t>
      </w:r>
      <w:r w:rsidR="00D27514">
        <w:rPr>
          <w:lang w:val="en-GB"/>
        </w:rPr>
        <w:t>while Zadoff</w:t>
      </w:r>
      <w:r w:rsidR="00CE59BF">
        <w:rPr>
          <w:lang w:val="en-GB"/>
        </w:rPr>
        <w:t>-</w:t>
      </w:r>
      <w:r w:rsidR="00D27514">
        <w:rPr>
          <w:lang w:val="en-GB"/>
        </w:rPr>
        <w:t xml:space="preserve">Chu sequences </w:t>
      </w:r>
      <w:r w:rsidR="004E1C82">
        <w:rPr>
          <w:lang w:val="en-GB"/>
        </w:rPr>
        <w:t xml:space="preserve">for a certain length are limited by the prime number they correspond to, i.e., there are only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-1</m:t>
        </m:r>
      </m:oMath>
      <w:r w:rsidR="00CB0906">
        <w:rPr>
          <w:lang w:val="en-GB"/>
        </w:rPr>
        <w:t xml:space="preserve"> </w:t>
      </w:r>
      <w:r w:rsidR="009F745F">
        <w:rPr>
          <w:lang w:val="en-GB"/>
        </w:rPr>
        <w:t>Zadoff-Chu sequences</w:t>
      </w:r>
      <w:r w:rsidR="00CB0906">
        <w:rPr>
          <w:lang w:val="en-GB"/>
        </w:rPr>
        <w:t xml:space="preserve"> </w:t>
      </w:r>
      <w:r w:rsidR="00D22787">
        <w:rPr>
          <w:lang w:val="en-GB"/>
        </w:rPr>
        <w:t xml:space="preserve">of length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oMath>
      <w:r w:rsidR="00D22787">
        <w:rPr>
          <w:lang w:val="en-GB"/>
        </w:rPr>
        <w:t>.</w:t>
      </w:r>
      <w:r w:rsidR="00034429">
        <w:rPr>
          <w:lang w:val="en-GB"/>
        </w:rPr>
        <w:t xml:space="preserve"> Thus, for a 3 RB allocation that requires a sequence of length 18, if we choose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oMath>
      <w:r w:rsidR="00034429">
        <w:rPr>
          <w:lang w:val="en-GB"/>
        </w:rPr>
        <w:t xml:space="preserve"> to be 17, there are only 16 </w:t>
      </w:r>
      <w:r w:rsidR="00882931">
        <w:rPr>
          <w:lang w:val="en-GB"/>
        </w:rPr>
        <w:t>such sequences available.</w:t>
      </w:r>
    </w:p>
    <w:p w14:paraId="7166F512" w14:textId="0F87EBDB" w:rsidR="00AE79FF" w:rsidRDefault="009D3489" w:rsidP="00294BBE">
      <w:pPr>
        <w:jc w:val="both"/>
        <w:rPr>
          <w:lang w:val="en-GB"/>
        </w:rPr>
      </w:pPr>
      <w:r>
        <w:rPr>
          <w:lang w:val="en-GB"/>
        </w:rPr>
        <w:t>Further, no</w:t>
      </w:r>
      <w:r w:rsidR="00AE79FF">
        <w:rPr>
          <w:lang w:val="en-GB"/>
        </w:rPr>
        <w:t xml:space="preserve">te that for Type 1 DMRS, the current 5G NR specification requires the length of </w:t>
      </w:r>
      <w:r w:rsidR="00F031A0">
        <w:rPr>
          <w:lang w:val="en-GB"/>
        </w:rPr>
        <w:t xml:space="preserve">ZC sequence for a given RB allocation to correspond to the largest prime number that is less than </w:t>
      </w:r>
      <w:r w:rsidR="00E52133">
        <w:rPr>
          <w:lang w:val="en-GB"/>
        </w:rPr>
        <w:t>the desired length. The chosen set of ZC sequences are cyclically extended until they are the desired length.</w:t>
      </w:r>
    </w:p>
    <w:p w14:paraId="3B1365F9" w14:textId="4B54B123" w:rsidR="004940A8" w:rsidRDefault="009E5237" w:rsidP="00294BBE">
      <w:pPr>
        <w:jc w:val="both"/>
        <w:rPr>
          <w:lang w:val="en-GB"/>
        </w:rPr>
      </w:pPr>
      <w:r>
        <w:rPr>
          <w:lang w:val="en-GB"/>
        </w:rPr>
        <w:t xml:space="preserve">Given that ZC sequences show good waveform characteristics when paired with FDSS and BW expansion, it is worth considering whether ZC sequences can also be chosen for &lt; 5 RB allocations. Since there aren’t enough sequences if just a single set Zadoff-Chu sequences corresponding to a certain length is used, </w:t>
      </w:r>
      <w:r w:rsidR="00291220">
        <w:rPr>
          <w:lang w:val="en-GB"/>
        </w:rPr>
        <w:t xml:space="preserve">one option is </w:t>
      </w:r>
      <w:r>
        <w:rPr>
          <w:lang w:val="en-GB"/>
        </w:rPr>
        <w:t>to form a combined set by considering two or more lengths.</w:t>
      </w:r>
      <w:r w:rsidR="00784D90">
        <w:rPr>
          <w:lang w:val="en-GB"/>
        </w:rPr>
        <w:t xml:space="preserve"> </w:t>
      </w:r>
      <w:r w:rsidR="006C62EC">
        <w:rPr>
          <w:lang w:val="en-GB"/>
        </w:rPr>
        <w:t xml:space="preserve">For example, for 3 RB allocation, we could consider Zadoff Chu sequences corresponding to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17</m:t>
        </m:r>
      </m:oMath>
      <w:r w:rsidR="006C62EC">
        <w:rPr>
          <w:lang w:val="en-GB"/>
        </w:rPr>
        <w:t xml:space="preserve"> and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19</m:t>
        </m:r>
      </m:oMath>
      <w:r w:rsidR="00AF0FC4">
        <w:rPr>
          <w:lang w:val="en-GB"/>
        </w:rPr>
        <w:t xml:space="preserve">. </w:t>
      </w:r>
      <w:r w:rsidR="00DB1085">
        <w:rPr>
          <w:lang w:val="en-GB"/>
        </w:rPr>
        <w:t xml:space="preserve">For 4 RB allocation, we could consider Zadoff Chu sequences corresponding to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19</m:t>
        </m:r>
      </m:oMath>
      <w:r w:rsidR="00DB1085">
        <w:rPr>
          <w:lang w:val="en-GB"/>
        </w:rPr>
        <w:t xml:space="preserve"> and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23</m:t>
        </m:r>
      </m:oMath>
      <w:r w:rsidR="00D57F0A">
        <w:rPr>
          <w:lang w:val="en-GB"/>
        </w:rPr>
        <w:t>.</w:t>
      </w:r>
    </w:p>
    <w:p w14:paraId="32DB142D" w14:textId="1A0769B9" w:rsidR="00294BBE" w:rsidRDefault="00784D90" w:rsidP="00294BBE">
      <w:pPr>
        <w:jc w:val="both"/>
        <w:rPr>
          <w:lang w:val="en-GB"/>
        </w:rPr>
      </w:pPr>
      <w:r>
        <w:rPr>
          <w:lang w:val="en-GB"/>
        </w:rPr>
        <w:t xml:space="preserve">Since FDSS with BWE requires cyclic extension by design, choosing just the largest prime nearest to the desired length need not be the only option for </w:t>
      </w:r>
      <w:r w:rsidR="00EE40BA">
        <w:rPr>
          <w:lang w:val="en-GB"/>
        </w:rPr>
        <w:t xml:space="preserve">constructing DMRS sequences. Additional primes that are close to the </w:t>
      </w:r>
      <w:r w:rsidR="00080B83">
        <w:rPr>
          <w:lang w:val="en-GB"/>
        </w:rPr>
        <w:t xml:space="preserve">RB allocation (before considering excess RBs) can also provide a valid set of ZC sequences to </w:t>
      </w:r>
      <w:r w:rsidR="000C5916">
        <w:rPr>
          <w:lang w:val="en-GB"/>
        </w:rPr>
        <w:t xml:space="preserve">use when FDSS with BWE is enabled. This justifies the use of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=19</m:t>
        </m:r>
      </m:oMath>
      <w:r w:rsidR="000C5916">
        <w:rPr>
          <w:lang w:val="en-GB"/>
        </w:rPr>
        <w:t xml:space="preserve"> </w:t>
      </w:r>
      <w:r w:rsidR="00F40BDE">
        <w:rPr>
          <w:lang w:val="en-GB"/>
        </w:rPr>
        <w:t>for</w:t>
      </w:r>
      <w:r w:rsidR="000C5916">
        <w:rPr>
          <w:lang w:val="en-GB"/>
        </w:rPr>
        <w:t xml:space="preserve"> the 3 RB a</w:t>
      </w:r>
      <w:r w:rsidR="00F40BDE">
        <w:rPr>
          <w:lang w:val="en-GB"/>
        </w:rPr>
        <w:t>llocation mentioned above.</w:t>
      </w:r>
      <w:r w:rsidR="00294BBE">
        <w:rPr>
          <w:lang w:val="en-GB"/>
        </w:rPr>
        <w:t xml:space="preserve"> </w:t>
      </w:r>
      <w:r w:rsidR="009723F3" w:rsidRPr="00E73367">
        <w:rPr>
          <w:lang w:val="en-GB"/>
        </w:rPr>
        <w:t>Also note</w:t>
      </w:r>
      <w:r w:rsidR="00294BBE" w:rsidRPr="00E73367">
        <w:rPr>
          <w:lang w:val="en-GB"/>
        </w:rPr>
        <w:t xml:space="preserve"> that since this approach designs the sequence in frequency domain, this construction preserves the frequency flatness property of Type 1 DMRS.</w:t>
      </w:r>
    </w:p>
    <w:p w14:paraId="5274F6EF" w14:textId="2928E8BC" w:rsidR="004A6244" w:rsidRDefault="00167F70" w:rsidP="00294BBE">
      <w:pPr>
        <w:jc w:val="both"/>
        <w:rPr>
          <w:lang w:val="en-GB"/>
        </w:rPr>
      </w:pPr>
      <w:r>
        <w:rPr>
          <w:lang w:val="en-GB"/>
        </w:rPr>
        <w:t xml:space="preserve">Such an approach results in DMRS waveforms that have similar PAPR characteristics as that of data symbols when combined with FDSS and BWE. This is illustrated in </w:t>
      </w:r>
      <w:r w:rsidR="00246E6D">
        <w:rPr>
          <w:lang w:val="en-GB"/>
        </w:rPr>
        <w:fldChar w:fldCharType="begin"/>
      </w:r>
      <w:r w:rsidR="00246E6D">
        <w:rPr>
          <w:lang w:val="en-GB"/>
        </w:rPr>
        <w:instrText xml:space="preserve"> REF _Ref131715508 \h </w:instrText>
      </w:r>
      <w:r w:rsidR="00294BBE">
        <w:rPr>
          <w:lang w:val="en-GB"/>
        </w:rPr>
        <w:instrText xml:space="preserve"> \* MERGEFORMAT </w:instrText>
      </w:r>
      <w:r w:rsidR="00246E6D">
        <w:rPr>
          <w:lang w:val="en-GB"/>
        </w:rPr>
      </w:r>
      <w:r w:rsidR="00246E6D">
        <w:rPr>
          <w:lang w:val="en-GB"/>
        </w:rPr>
        <w:fldChar w:fldCharType="separate"/>
      </w:r>
      <w:r w:rsidR="00EA7EC4">
        <w:t xml:space="preserve">Figure </w:t>
      </w:r>
      <w:r w:rsidR="00EA7EC4">
        <w:rPr>
          <w:noProof/>
        </w:rPr>
        <w:t>21</w:t>
      </w:r>
      <w:r w:rsidR="00246E6D">
        <w:rPr>
          <w:lang w:val="en-GB"/>
        </w:rPr>
        <w:fldChar w:fldCharType="end"/>
      </w:r>
      <w:r>
        <w:rPr>
          <w:lang w:val="en-GB"/>
        </w:rPr>
        <w:t xml:space="preserve"> for </w:t>
      </w:r>
      <w:r w:rsidR="00AF62C1">
        <w:rPr>
          <w:lang w:val="en-GB"/>
        </w:rPr>
        <w:t>3 and 4 RB allocations with 2 excess RBs.</w:t>
      </w:r>
    </w:p>
    <w:tbl>
      <w:tblPr>
        <w:tblStyle w:val="TableGrid"/>
        <w:tblW w:w="0" w:type="auto"/>
        <w:tblLook w:val="04A0" w:firstRow="1" w:lastRow="0" w:firstColumn="1" w:lastColumn="0" w:noHBand="0" w:noVBand="1"/>
      </w:tblPr>
      <w:tblGrid>
        <w:gridCol w:w="4675"/>
        <w:gridCol w:w="4675"/>
      </w:tblGrid>
      <w:tr w:rsidR="004A6244" w14:paraId="1063C771" w14:textId="77777777" w:rsidTr="00F05159">
        <w:tc>
          <w:tcPr>
            <w:tcW w:w="4675" w:type="dxa"/>
          </w:tcPr>
          <w:p w14:paraId="6C31FE52" w14:textId="77777777" w:rsidR="004A6244" w:rsidRDefault="004A6244" w:rsidP="00AF62C1">
            <w:pPr>
              <w:jc w:val="center"/>
            </w:pPr>
            <w:r w:rsidRPr="00352B92">
              <w:rPr>
                <w:noProof/>
              </w:rPr>
              <w:lastRenderedPageBreak/>
              <w:drawing>
                <wp:inline distT="0" distB="0" distL="0" distR="0" wp14:anchorId="5EE6FAF0" wp14:editId="5E35AE90">
                  <wp:extent cx="2743200" cy="2217557"/>
                  <wp:effectExtent l="0" t="0" r="0" b="0"/>
                  <wp:docPr id="7" name="Content Placeholder 6" descr="A picture containing chart&#10;&#10;Description automatically generated">
                    <a:extLst xmlns:a="http://schemas.openxmlformats.org/drawingml/2006/main">
                      <a:ext uri="{FF2B5EF4-FFF2-40B4-BE49-F238E27FC236}">
                        <a16:creationId xmlns:a16="http://schemas.microsoft.com/office/drawing/2014/main" id="{3A058797-079F-67AC-A325-512346D3816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A picture containing chart&#10;&#10;Description automatically generated">
                            <a:extLst>
                              <a:ext uri="{FF2B5EF4-FFF2-40B4-BE49-F238E27FC236}">
                                <a16:creationId xmlns:a16="http://schemas.microsoft.com/office/drawing/2014/main" id="{3A058797-079F-67AC-A325-512346D3816C}"/>
                              </a:ext>
                            </a:extLst>
                          </pic:cNvPr>
                          <pic:cNvPicPr>
                            <a:picLocks noGrp="1" noChangeAspect="1"/>
                          </pic:cNvPicPr>
                        </pic:nvPicPr>
                        <pic:blipFill>
                          <a:blip r:embed="rId34"/>
                          <a:stretch>
                            <a:fillRect/>
                          </a:stretch>
                        </pic:blipFill>
                        <pic:spPr>
                          <a:xfrm>
                            <a:off x="0" y="0"/>
                            <a:ext cx="2751376" cy="2224166"/>
                          </a:xfrm>
                          <a:prstGeom prst="rect">
                            <a:avLst/>
                          </a:prstGeom>
                        </pic:spPr>
                      </pic:pic>
                    </a:graphicData>
                  </a:graphic>
                </wp:inline>
              </w:drawing>
            </w:r>
          </w:p>
        </w:tc>
        <w:tc>
          <w:tcPr>
            <w:tcW w:w="4675" w:type="dxa"/>
          </w:tcPr>
          <w:p w14:paraId="54F68547" w14:textId="77777777" w:rsidR="004A6244" w:rsidRDefault="004A6244" w:rsidP="00AF62C1">
            <w:pPr>
              <w:keepNext/>
              <w:jc w:val="center"/>
            </w:pPr>
            <w:r w:rsidRPr="00CB15B5">
              <w:rPr>
                <w:noProof/>
              </w:rPr>
              <w:drawing>
                <wp:inline distT="0" distB="0" distL="0" distR="0" wp14:anchorId="4C76C14C" wp14:editId="02E26B89">
                  <wp:extent cx="2800350" cy="2247758"/>
                  <wp:effectExtent l="0" t="0" r="0" b="635"/>
                  <wp:docPr id="8" name="Content Placeholder 6" descr="Chart&#10;&#10;Description automatically generated">
                    <a:extLst xmlns:a="http://schemas.openxmlformats.org/drawingml/2006/main">
                      <a:ext uri="{FF2B5EF4-FFF2-40B4-BE49-F238E27FC236}">
                        <a16:creationId xmlns:a16="http://schemas.microsoft.com/office/drawing/2014/main" id="{4362992E-1318-27A5-BE3E-18884603EB5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10;&#10;Description automatically generated">
                            <a:extLst>
                              <a:ext uri="{FF2B5EF4-FFF2-40B4-BE49-F238E27FC236}">
                                <a16:creationId xmlns:a16="http://schemas.microsoft.com/office/drawing/2014/main" id="{4362992E-1318-27A5-BE3E-18884603EB51}"/>
                              </a:ext>
                            </a:extLst>
                          </pic:cNvPr>
                          <pic:cNvPicPr>
                            <a:picLocks noGrp="1" noChangeAspect="1"/>
                          </pic:cNvPicPr>
                        </pic:nvPicPr>
                        <pic:blipFill>
                          <a:blip r:embed="rId35"/>
                          <a:stretch>
                            <a:fillRect/>
                          </a:stretch>
                        </pic:blipFill>
                        <pic:spPr>
                          <a:xfrm>
                            <a:off x="0" y="0"/>
                            <a:ext cx="2837190" cy="2277328"/>
                          </a:xfrm>
                          <a:prstGeom prst="rect">
                            <a:avLst/>
                          </a:prstGeom>
                        </pic:spPr>
                      </pic:pic>
                    </a:graphicData>
                  </a:graphic>
                </wp:inline>
              </w:drawing>
            </w:r>
          </w:p>
        </w:tc>
      </w:tr>
    </w:tbl>
    <w:p w14:paraId="461944E6" w14:textId="2AFDB16B" w:rsidR="004A6244" w:rsidRDefault="00AF62C1" w:rsidP="00AF62C1">
      <w:pPr>
        <w:pStyle w:val="Caption"/>
        <w:jc w:val="center"/>
      </w:pPr>
      <w:bookmarkStart w:id="24" w:name="_Ref131715508"/>
      <w:r>
        <w:t xml:space="preserve">Figure </w:t>
      </w:r>
      <w:r>
        <w:fldChar w:fldCharType="begin"/>
      </w:r>
      <w:r>
        <w:instrText xml:space="preserve"> SEQ Figure \* ARABIC </w:instrText>
      </w:r>
      <w:r>
        <w:fldChar w:fldCharType="separate"/>
      </w:r>
      <w:r w:rsidR="00EA7EC4">
        <w:rPr>
          <w:noProof/>
        </w:rPr>
        <w:t>21</w:t>
      </w:r>
      <w:r>
        <w:fldChar w:fldCharType="end"/>
      </w:r>
      <w:bookmarkEnd w:id="24"/>
      <w:r>
        <w:t xml:space="preserve"> PAPR characteristics of</w:t>
      </w:r>
      <w:r w:rsidR="00246E6D">
        <w:t xml:space="preserve"> DMRS symbols constructed using</w:t>
      </w:r>
      <w:r>
        <w:t xml:space="preserve"> ZC sequences</w:t>
      </w:r>
      <w:r w:rsidR="00246E6D">
        <w:t xml:space="preserve"> of two different lengths </w:t>
      </w:r>
      <w:r>
        <w:t xml:space="preserve"> for small RB allocations</w:t>
      </w:r>
    </w:p>
    <w:p w14:paraId="04115DDB" w14:textId="26A27B8B" w:rsidR="00E0503A" w:rsidRDefault="00E0503A" w:rsidP="009C5028">
      <w:pPr>
        <w:jc w:val="both"/>
        <w:rPr>
          <w:lang w:val="en-GB"/>
        </w:rPr>
      </w:pPr>
      <w:r>
        <w:rPr>
          <w:lang w:val="en-GB"/>
        </w:rPr>
        <w:t xml:space="preserve">Focusing once again on the 3 RB example, note that we proposed to use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17</m:t>
        </m:r>
      </m:oMath>
      <w:r>
        <w:rPr>
          <w:lang w:val="en-GB"/>
        </w:rPr>
        <w:t xml:space="preserve"> and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19</m:t>
        </m:r>
      </m:oMath>
      <w:r>
        <w:rPr>
          <w:lang w:val="en-GB"/>
        </w:rPr>
        <w:t xml:space="preserve">, which </w:t>
      </w:r>
      <w:r w:rsidR="00417FDE">
        <w:rPr>
          <w:lang w:val="en-GB"/>
        </w:rPr>
        <w:t>would result</w:t>
      </w:r>
      <w:r w:rsidR="00696FA9">
        <w:rPr>
          <w:lang w:val="en-GB"/>
        </w:rPr>
        <w:t xml:space="preserve"> in a total of 34 (16+18) sequences. Since we only need 30 sequences,</w:t>
      </w:r>
      <w:r w:rsidR="001439D8">
        <w:rPr>
          <w:lang w:val="en-GB"/>
        </w:rPr>
        <w:t xml:space="preserve"> it may be possible to prune this set to optimize </w:t>
      </w:r>
      <w:r w:rsidR="005344DB">
        <w:rPr>
          <w:lang w:val="en-GB"/>
        </w:rPr>
        <w:t>a</w:t>
      </w:r>
      <w:r w:rsidR="001439D8">
        <w:rPr>
          <w:lang w:val="en-GB"/>
        </w:rPr>
        <w:t xml:space="preserve"> desired property. </w:t>
      </w:r>
      <w:r w:rsidR="0052680F">
        <w:rPr>
          <w:lang w:val="en-GB"/>
        </w:rPr>
        <w:t>In particular, cross</w:t>
      </w:r>
      <w:r w:rsidR="009C5028">
        <w:rPr>
          <w:lang w:val="en-GB"/>
        </w:rPr>
        <w:t>-</w:t>
      </w:r>
      <w:r w:rsidR="0052680F">
        <w:rPr>
          <w:lang w:val="en-GB"/>
        </w:rPr>
        <w:t xml:space="preserve">correlation across the set of 30 sequences for a given length is an important consideration when designing DMRS sequences since this determines the impact of inter-cell interference. </w:t>
      </w:r>
      <w:r w:rsidR="00F03AF4">
        <w:rPr>
          <w:lang w:val="en-GB"/>
        </w:rPr>
        <w:t>If</w:t>
      </w:r>
      <w:r w:rsidR="0052680F">
        <w:rPr>
          <w:lang w:val="en-GB"/>
        </w:rPr>
        <w:t xml:space="preserve"> using a set of 2 or more prime lengths results in a collection of Zadoff</w:t>
      </w:r>
      <w:r w:rsidR="003E386E">
        <w:rPr>
          <w:lang w:val="en-GB"/>
        </w:rPr>
        <w:t>-</w:t>
      </w:r>
      <w:r w:rsidR="0052680F">
        <w:rPr>
          <w:lang w:val="en-GB"/>
        </w:rPr>
        <w:t xml:space="preserve">Chu sequences that </w:t>
      </w:r>
      <w:r w:rsidR="00602BE3">
        <w:rPr>
          <w:lang w:val="en-GB"/>
        </w:rPr>
        <w:t xml:space="preserve">has more than 30 sequences, sequences that </w:t>
      </w:r>
      <w:r w:rsidR="00386949">
        <w:rPr>
          <w:lang w:val="en-GB"/>
        </w:rPr>
        <w:t>lead to high cross-correlation can be dropped to result in a set of 30 sequences that ha</w:t>
      </w:r>
      <w:r w:rsidR="003E386E">
        <w:rPr>
          <w:lang w:val="en-GB"/>
        </w:rPr>
        <w:t>s</w:t>
      </w:r>
      <w:r w:rsidR="00386949">
        <w:rPr>
          <w:lang w:val="en-GB"/>
        </w:rPr>
        <w:t xml:space="preserve"> improved cross-correlation characteristics. </w:t>
      </w:r>
      <w:r w:rsidR="006E786F">
        <w:rPr>
          <w:lang w:val="en-GB"/>
        </w:rPr>
        <w:t xml:space="preserve">Results using such an approach for the 3 RB allocation is shown in </w:t>
      </w:r>
      <w:r w:rsidR="006E786F">
        <w:rPr>
          <w:lang w:val="en-GB"/>
        </w:rPr>
        <w:fldChar w:fldCharType="begin"/>
      </w:r>
      <w:r w:rsidR="006E786F">
        <w:rPr>
          <w:lang w:val="en-GB"/>
        </w:rPr>
        <w:instrText xml:space="preserve"> REF _Ref131715696 \h </w:instrText>
      </w:r>
      <w:r w:rsidR="006E786F">
        <w:rPr>
          <w:lang w:val="en-GB"/>
        </w:rPr>
      </w:r>
      <w:r w:rsidR="006E786F">
        <w:rPr>
          <w:lang w:val="en-GB"/>
        </w:rPr>
        <w:fldChar w:fldCharType="separate"/>
      </w:r>
      <w:r w:rsidR="00EA7EC4">
        <w:t xml:space="preserve">Figure </w:t>
      </w:r>
      <w:r w:rsidR="00EA7EC4">
        <w:rPr>
          <w:noProof/>
        </w:rPr>
        <w:t>22</w:t>
      </w:r>
      <w:r w:rsidR="006E786F">
        <w:rPr>
          <w:lang w:val="en-GB"/>
        </w:rPr>
        <w:fldChar w:fldCharType="end"/>
      </w:r>
      <w:r w:rsidR="003E386E">
        <w:rPr>
          <w:lang w:val="en-GB"/>
        </w:rPr>
        <w:t xml:space="preserve">, where certain sequences that </w:t>
      </w:r>
      <w:r w:rsidR="00B721E7">
        <w:rPr>
          <w:lang w:val="en-GB"/>
        </w:rPr>
        <w:t>lead to high cross-correlation are weeded out to improve the overall cross-correlation profile.</w:t>
      </w:r>
    </w:p>
    <w:tbl>
      <w:tblPr>
        <w:tblStyle w:val="TableGrid"/>
        <w:tblW w:w="0" w:type="auto"/>
        <w:tblLook w:val="04A0" w:firstRow="1" w:lastRow="0" w:firstColumn="1" w:lastColumn="0" w:noHBand="0" w:noVBand="1"/>
      </w:tblPr>
      <w:tblGrid>
        <w:gridCol w:w="4690"/>
        <w:gridCol w:w="4660"/>
      </w:tblGrid>
      <w:tr w:rsidR="004A6244" w14:paraId="2EC97283" w14:textId="77777777" w:rsidTr="002C6CC6">
        <w:tc>
          <w:tcPr>
            <w:tcW w:w="4690" w:type="dxa"/>
          </w:tcPr>
          <w:p w14:paraId="4AE454A9" w14:textId="77777777" w:rsidR="004A6244" w:rsidRDefault="004A6244" w:rsidP="002C6CC6">
            <w:pPr>
              <w:jc w:val="center"/>
            </w:pPr>
            <w:r>
              <w:rPr>
                <w:noProof/>
              </w:rPr>
              <w:drawing>
                <wp:inline distT="0" distB="0" distL="0" distR="0" wp14:anchorId="013ADA92" wp14:editId="49DFB162">
                  <wp:extent cx="2840990" cy="2397566"/>
                  <wp:effectExtent l="0" t="0" r="0" b="3175"/>
                  <wp:docPr id="9" name="Picture 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1734" cy="2406633"/>
                          </a:xfrm>
                          <a:prstGeom prst="rect">
                            <a:avLst/>
                          </a:prstGeom>
                          <a:noFill/>
                        </pic:spPr>
                      </pic:pic>
                    </a:graphicData>
                  </a:graphic>
                </wp:inline>
              </w:drawing>
            </w:r>
          </w:p>
        </w:tc>
        <w:tc>
          <w:tcPr>
            <w:tcW w:w="4660" w:type="dxa"/>
          </w:tcPr>
          <w:p w14:paraId="3490B701" w14:textId="77777777" w:rsidR="004A6244" w:rsidRDefault="004A6244" w:rsidP="002C6CC6">
            <w:pPr>
              <w:keepNext/>
              <w:jc w:val="center"/>
            </w:pPr>
            <w:r>
              <w:rPr>
                <w:noProof/>
              </w:rPr>
              <w:drawing>
                <wp:inline distT="0" distB="0" distL="0" distR="0" wp14:anchorId="25A4EC19" wp14:editId="430244D0">
                  <wp:extent cx="2789255" cy="2372995"/>
                  <wp:effectExtent l="0" t="0" r="0" b="8255"/>
                  <wp:docPr id="11" name="Picture 1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histo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3715" cy="2385297"/>
                          </a:xfrm>
                          <a:prstGeom prst="rect">
                            <a:avLst/>
                          </a:prstGeom>
                          <a:noFill/>
                        </pic:spPr>
                      </pic:pic>
                    </a:graphicData>
                  </a:graphic>
                </wp:inline>
              </w:drawing>
            </w:r>
          </w:p>
        </w:tc>
      </w:tr>
    </w:tbl>
    <w:p w14:paraId="0444ED29" w14:textId="60BE2101" w:rsidR="004A6244" w:rsidRDefault="002C6CC6" w:rsidP="002C6CC6">
      <w:pPr>
        <w:pStyle w:val="Caption"/>
        <w:jc w:val="center"/>
      </w:pPr>
      <w:bookmarkStart w:id="25" w:name="_Ref131715696"/>
      <w:r>
        <w:t xml:space="preserve">Figure </w:t>
      </w:r>
      <w:r>
        <w:fldChar w:fldCharType="begin"/>
      </w:r>
      <w:r>
        <w:instrText xml:space="preserve"> SEQ Figure \* ARABIC </w:instrText>
      </w:r>
      <w:r>
        <w:fldChar w:fldCharType="separate"/>
      </w:r>
      <w:r w:rsidR="00EA7EC4">
        <w:rPr>
          <w:noProof/>
        </w:rPr>
        <w:t>22</w:t>
      </w:r>
      <w:r>
        <w:fldChar w:fldCharType="end"/>
      </w:r>
      <w:bookmarkEnd w:id="25"/>
      <w:r>
        <w:t xml:space="preserve"> Improving cross-correlation properties of a set of Type 1 DMRS sequences constructed using Zadoff-Chu sequences of 2 different prime lengths.</w:t>
      </w:r>
    </w:p>
    <w:p w14:paraId="6F9CDD5F" w14:textId="6FE576A7" w:rsidR="002E5B6B" w:rsidRDefault="002E5B6B" w:rsidP="002E5B6B">
      <w:pPr>
        <w:rPr>
          <w:lang w:val="en-GB"/>
        </w:rPr>
      </w:pPr>
    </w:p>
    <w:p w14:paraId="5105C94C" w14:textId="5402E88B" w:rsidR="002E5B6B" w:rsidRPr="002E5B6B" w:rsidRDefault="002E5B6B" w:rsidP="002E5B6B">
      <w:pPr>
        <w:rPr>
          <w:lang w:val="en-GB"/>
        </w:rPr>
      </w:pPr>
      <w:r>
        <w:rPr>
          <w:lang w:val="en-GB"/>
        </w:rPr>
        <w:t>Based on these observations we make the following proposal:</w:t>
      </w:r>
    </w:p>
    <w:tbl>
      <w:tblPr>
        <w:tblStyle w:val="TableGrid"/>
        <w:tblW w:w="0" w:type="auto"/>
        <w:tblLook w:val="04A0" w:firstRow="1" w:lastRow="0" w:firstColumn="1" w:lastColumn="0" w:noHBand="0" w:noVBand="1"/>
      </w:tblPr>
      <w:tblGrid>
        <w:gridCol w:w="9350"/>
      </w:tblGrid>
      <w:tr w:rsidR="000E115D" w14:paraId="14C9348B" w14:textId="77777777" w:rsidTr="000E115D">
        <w:tc>
          <w:tcPr>
            <w:tcW w:w="9350" w:type="dxa"/>
          </w:tcPr>
          <w:p w14:paraId="317ADA63" w14:textId="5C4D7BDA" w:rsidR="000E115D" w:rsidRDefault="000E115D" w:rsidP="000E115D">
            <w:r w:rsidRPr="002E5B6B">
              <w:rPr>
                <w:b/>
                <w:bCs/>
              </w:rPr>
              <w:t>Proposal</w:t>
            </w:r>
            <w:r w:rsidR="000754B4">
              <w:rPr>
                <w:b/>
                <w:bCs/>
              </w:rPr>
              <w:t xml:space="preserve"> </w:t>
            </w:r>
            <w:r w:rsidR="00D77300">
              <w:rPr>
                <w:b/>
                <w:bCs/>
              </w:rPr>
              <w:t>6</w:t>
            </w:r>
            <w:r w:rsidRPr="002E5B6B">
              <w:rPr>
                <w:b/>
                <w:bCs/>
              </w:rPr>
              <w:t>:</w:t>
            </w:r>
            <w:r>
              <w:t xml:space="preserve"> </w:t>
            </w:r>
            <w:r w:rsidR="00DF068E">
              <w:t>For FDSS with BWE</w:t>
            </w:r>
            <w:r w:rsidR="00C757A9">
              <w:t xml:space="preserve"> and </w:t>
            </w:r>
            <w:r>
              <w:t>RB allocations</w:t>
            </w:r>
            <w:r w:rsidR="00CD5607">
              <w:t xml:space="preserve"> of less than 5 RBs</w:t>
            </w:r>
            <w:r>
              <w:t xml:space="preserve">, consider constructing a set of Type 1 DMRS sequences for a given RB allocation by using Zadoff-Chu sequences of two or more prime lengths. </w:t>
            </w:r>
          </w:p>
          <w:p w14:paraId="62C0AD67" w14:textId="03563144" w:rsidR="000E115D" w:rsidRDefault="000E115D" w:rsidP="004D36C0">
            <w:pPr>
              <w:pStyle w:val="ListParagraph"/>
              <w:numPr>
                <w:ilvl w:val="0"/>
                <w:numId w:val="29"/>
              </w:numPr>
            </w:pPr>
            <w:r w:rsidRPr="000E115D">
              <w:t>FFS: How to prune the combined set to obtain a final set of 30 sequences.</w:t>
            </w:r>
          </w:p>
        </w:tc>
      </w:tr>
    </w:tbl>
    <w:p w14:paraId="44387E03" w14:textId="77777777" w:rsidR="000E115D" w:rsidRDefault="000E115D" w:rsidP="009C5028">
      <w:pPr>
        <w:jc w:val="both"/>
        <w:rPr>
          <w:lang w:val="en-GB"/>
        </w:rPr>
      </w:pPr>
    </w:p>
    <w:p w14:paraId="69980F2C" w14:textId="35FB17BC" w:rsidR="005D303C" w:rsidRDefault="005D303C" w:rsidP="0007258B">
      <w:pPr>
        <w:rPr>
          <w:lang w:val="en-GB"/>
        </w:rPr>
      </w:pPr>
    </w:p>
    <w:p w14:paraId="3373E9B1" w14:textId="77777777" w:rsidR="002D05CD" w:rsidRPr="0007258B" w:rsidRDefault="002D05CD" w:rsidP="0007258B">
      <w:pPr>
        <w:rPr>
          <w:lang w:val="en-GB"/>
        </w:rPr>
      </w:pPr>
    </w:p>
    <w:p w14:paraId="48376A49" w14:textId="5E49FB65" w:rsidR="00040E1F" w:rsidRDefault="00040E1F" w:rsidP="00AC486D">
      <w:pPr>
        <w:pStyle w:val="Heading3"/>
      </w:pPr>
      <w:bookmarkStart w:id="26" w:name="_Ref127532724"/>
      <w:r>
        <w:lastRenderedPageBreak/>
        <w:t>Coverage Gains</w:t>
      </w:r>
      <w:bookmarkEnd w:id="26"/>
      <w:r w:rsidR="00565F0F">
        <w:t xml:space="preserve"> Using FDSS with BW Expansion</w:t>
      </w:r>
    </w:p>
    <w:p w14:paraId="6ADC254D" w14:textId="022A350A" w:rsidR="004E7724" w:rsidRPr="00556D28" w:rsidRDefault="004E7724" w:rsidP="00321F1A">
      <w:pPr>
        <w:pStyle w:val="Heading4"/>
      </w:pPr>
      <w:r>
        <w:t>Potential Power Boost Using F</w:t>
      </w:r>
      <w:r w:rsidR="00556D28">
        <w:t xml:space="preserve">DSS </w:t>
      </w:r>
    </w:p>
    <w:p w14:paraId="7E2ADD2C" w14:textId="77777777" w:rsidR="00694E13" w:rsidRDefault="00565F0F" w:rsidP="00565F0F">
      <w:pPr>
        <w:jc w:val="both"/>
        <w:rPr>
          <w:lang w:val="en-GB"/>
        </w:rPr>
      </w:pPr>
      <w:r>
        <w:rPr>
          <w:lang w:val="en-GB"/>
        </w:rPr>
        <w:t xml:space="preserve">Using </w:t>
      </w:r>
      <w:r w:rsidR="007E1B74">
        <w:rPr>
          <w:lang w:val="en-GB"/>
        </w:rPr>
        <w:t>FDSS with BW expansion</w:t>
      </w:r>
      <w:r>
        <w:rPr>
          <w:lang w:val="en-GB"/>
        </w:rPr>
        <w:t xml:space="preserve">, raw waveforms are shaped using non-transparent tone reservation to reduce their PAPR characteristics and then passed through an RF simulator to determine the resulting MPR. In the following figures, MPR and the potential power boost using </w:t>
      </w:r>
      <w:r w:rsidR="007E1B74">
        <w:rPr>
          <w:lang w:val="en-GB"/>
        </w:rPr>
        <w:t>FDSS with 25% excess BW</w:t>
      </w:r>
      <w:r>
        <w:rPr>
          <w:lang w:val="en-GB"/>
        </w:rPr>
        <w:t xml:space="preserve"> are plotted. </w:t>
      </w:r>
    </w:p>
    <w:p w14:paraId="233C3480" w14:textId="43ADADD0" w:rsidR="00565F0F" w:rsidRDefault="00A90F22" w:rsidP="00565F0F">
      <w:pPr>
        <w:jc w:val="both"/>
      </w:pPr>
      <w:r>
        <w:fldChar w:fldCharType="begin"/>
      </w:r>
      <w:r>
        <w:instrText xml:space="preserve"> REF _Ref127533500 \h </w:instrText>
      </w:r>
      <w:r>
        <w:fldChar w:fldCharType="separate"/>
      </w:r>
      <w:r w:rsidR="00EA7EC4" w:rsidRPr="00321F1A">
        <w:t xml:space="preserve">Figure </w:t>
      </w:r>
      <w:r w:rsidR="00EA7EC4">
        <w:rPr>
          <w:noProof/>
        </w:rPr>
        <w:t>23</w:t>
      </w:r>
      <w:r w:rsidR="00EA7EC4" w:rsidRPr="00321F1A">
        <w:t xml:space="preserve"> MPR and potential power boost using FDSS</w:t>
      </w:r>
      <w:r w:rsidR="00EA7EC4">
        <w:t xml:space="preserve"> (using 3-tap filter [-0.28 1 -0.28])</w:t>
      </w:r>
      <w:r w:rsidR="00EA7EC4" w:rsidRPr="00321F1A">
        <w:t xml:space="preserve"> with BWE. 25% excess BW is assumed.</w:t>
      </w:r>
      <w:r>
        <w:fldChar w:fldCharType="end"/>
      </w:r>
      <w:r w:rsidR="00CB0502">
        <w:t xml:space="preserve"> </w:t>
      </w:r>
      <w:r w:rsidR="00565F0F">
        <w:t>for inner RB allocations, a potential boost of 1.</w:t>
      </w:r>
      <w:r w:rsidR="00CE0C17">
        <w:t>8</w:t>
      </w:r>
      <w:r w:rsidR="00565F0F">
        <w:t xml:space="preserve"> dB is possible. Outer RB allocations see gain</w:t>
      </w:r>
      <w:r w:rsidR="00255F72">
        <w:t>s</w:t>
      </w:r>
      <w:r w:rsidR="00565F0F">
        <w:t xml:space="preserve"> of about </w:t>
      </w:r>
      <w:r w:rsidR="00255F72">
        <w:t>1</w:t>
      </w:r>
      <w:r w:rsidR="00CE0C17">
        <w:t>.2</w:t>
      </w:r>
      <w:r w:rsidR="00565F0F">
        <w:t>-</w:t>
      </w:r>
      <w:r w:rsidR="008459E6">
        <w:t>1.</w:t>
      </w:r>
      <w:r w:rsidR="00CE0C17">
        <w:t>8</w:t>
      </w:r>
      <w:r w:rsidR="00565F0F">
        <w:t xml:space="preserve"> dB. </w:t>
      </w:r>
      <w:r w:rsidR="008459E6">
        <w:t xml:space="preserve">Remarkably, no allocations require any MPR. </w:t>
      </w:r>
    </w:p>
    <w:p w14:paraId="4CB52BF3" w14:textId="73891804" w:rsidR="00A71F7B" w:rsidRDefault="00A71F7B" w:rsidP="00A71F7B">
      <w:pPr>
        <w:jc w:val="both"/>
      </w:pPr>
      <w:r>
        <w:fldChar w:fldCharType="begin"/>
      </w:r>
      <w:r>
        <w:instrText xml:space="preserve"> REF _Ref127533500 \h </w:instrText>
      </w:r>
      <w:r>
        <w:fldChar w:fldCharType="separate"/>
      </w:r>
      <w:r w:rsidR="00EA7EC4" w:rsidRPr="00321F1A">
        <w:t xml:space="preserve">Figure </w:t>
      </w:r>
      <w:r w:rsidR="00EA7EC4">
        <w:rPr>
          <w:noProof/>
        </w:rPr>
        <w:t>23</w:t>
      </w:r>
      <w:r w:rsidR="00EA7EC4" w:rsidRPr="00321F1A">
        <w:t xml:space="preserve"> MPR and potential power boost using FDSS</w:t>
      </w:r>
      <w:r w:rsidR="00EA7EC4">
        <w:t xml:space="preserve"> (using 3-tap filter [-0.28 1 -0.28])</w:t>
      </w:r>
      <w:r w:rsidR="00EA7EC4" w:rsidRPr="00321F1A">
        <w:t xml:space="preserve"> with BWE. 25% excess BW is assumed.</w:t>
      </w:r>
      <w:r>
        <w:fldChar w:fldCharType="end"/>
      </w:r>
      <w:r>
        <w:t xml:space="preserve"> for inner RB allocations, a potential boost of 1.</w:t>
      </w:r>
      <w:r w:rsidR="004941ED">
        <w:t>7</w:t>
      </w:r>
      <w:r>
        <w:t xml:space="preserve"> dB is possible. Outer RB allocations see gains of about </w:t>
      </w:r>
      <w:r w:rsidR="006B5DC2">
        <w:t>0.4</w:t>
      </w:r>
      <w:r>
        <w:t>-</w:t>
      </w:r>
      <w:r w:rsidR="00823E23">
        <w:t>1.2</w:t>
      </w:r>
      <w:r>
        <w:t xml:space="preserve"> dB. Remarkably, no allocations require any MPR. </w:t>
      </w:r>
      <w:r w:rsidR="00B0549A">
        <w:t>Once again, it is seen that no allocation require an MPR.</w:t>
      </w:r>
    </w:p>
    <w:p w14:paraId="3945FAD9" w14:textId="20757A4E" w:rsidR="00A71F7B" w:rsidRDefault="000A20BC" w:rsidP="00565F0F">
      <w:pPr>
        <w:jc w:val="both"/>
      </w:pPr>
      <w:r>
        <w:t>The key difference between the two filters appears to be on their impact on outer</w:t>
      </w:r>
      <w:r w:rsidR="00DA749C">
        <w:t xml:space="preserve"> RB allocations --- 3-tap filter is able to deliver a larger power boost. This however may come </w:t>
      </w:r>
      <w:r w:rsidR="004C193A">
        <w:t>at the expense of link-level performance.</w:t>
      </w:r>
    </w:p>
    <w:p w14:paraId="12F3A5D8" w14:textId="77777777" w:rsidR="00565F0F" w:rsidRPr="00321F1A" w:rsidRDefault="00565F0F" w:rsidP="00321F1A">
      <w:pPr>
        <w:rPr>
          <w:lang w:val="en-GB"/>
        </w:rPr>
      </w:pPr>
    </w:p>
    <w:tbl>
      <w:tblPr>
        <w:tblStyle w:val="TableGrid"/>
        <w:tblW w:w="0" w:type="auto"/>
        <w:tblLook w:val="04A0" w:firstRow="1" w:lastRow="0" w:firstColumn="1" w:lastColumn="0" w:noHBand="0" w:noVBand="1"/>
      </w:tblPr>
      <w:tblGrid>
        <w:gridCol w:w="4675"/>
        <w:gridCol w:w="4675"/>
      </w:tblGrid>
      <w:tr w:rsidR="00216C2B" w14:paraId="7180E6B0" w14:textId="77777777" w:rsidTr="008B4038">
        <w:tc>
          <w:tcPr>
            <w:tcW w:w="4675" w:type="dxa"/>
          </w:tcPr>
          <w:p w14:paraId="44D2477F" w14:textId="77777777" w:rsidR="00216C2B" w:rsidRDefault="00216C2B" w:rsidP="008B4038">
            <w:pPr>
              <w:overflowPunct/>
              <w:autoSpaceDE/>
              <w:autoSpaceDN/>
              <w:adjustRightInd/>
              <w:spacing w:after="0"/>
              <w:jc w:val="center"/>
              <w:textAlignment w:val="auto"/>
              <w:rPr>
                <w:rFonts w:ascii="Calibri" w:eastAsia="Times New Roman" w:hAnsi="Calibri" w:cs="Calibri"/>
                <w:sz w:val="22"/>
                <w:szCs w:val="22"/>
              </w:rPr>
            </w:pPr>
            <w:r w:rsidRPr="00186636">
              <w:rPr>
                <w:rFonts w:ascii="Calibri" w:eastAsia="Times New Roman" w:hAnsi="Calibri" w:cs="Calibri"/>
                <w:noProof/>
                <w:sz w:val="22"/>
                <w:szCs w:val="22"/>
              </w:rPr>
              <w:drawing>
                <wp:inline distT="0" distB="0" distL="0" distR="0" wp14:anchorId="237BB3ED" wp14:editId="5BB2586C">
                  <wp:extent cx="2765729" cy="2088603"/>
                  <wp:effectExtent l="0" t="0" r="0" b="6985"/>
                  <wp:docPr id="1030" name="Picture 1030" descr="Chart, line chart&#10;&#10;Description automatically generated">
                    <a:extLst xmlns:a="http://schemas.openxmlformats.org/drawingml/2006/main">
                      <a:ext uri="{FF2B5EF4-FFF2-40B4-BE49-F238E27FC236}">
                        <a16:creationId xmlns:a16="http://schemas.microsoft.com/office/drawing/2014/main" id="{10CF74C7-0F64-AA7E-571F-3B78F671C0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8" name="Picture 1028" descr="Chart, line chart&#10;&#10;Description automatically generated">
                            <a:extLst>
                              <a:ext uri="{FF2B5EF4-FFF2-40B4-BE49-F238E27FC236}">
                                <a16:creationId xmlns:a16="http://schemas.microsoft.com/office/drawing/2014/main" id="{10CF74C7-0F64-AA7E-571F-3B78F671C05F}"/>
                              </a:ext>
                            </a:extLst>
                          </pic:cNvPr>
                          <pic:cNvPicPr>
                            <a:picLocks noGrp="1" noChangeAspect="1"/>
                          </pic:cNvPicPr>
                        </pic:nvPicPr>
                        <pic:blipFill>
                          <a:blip r:embed="rId38"/>
                          <a:stretch>
                            <a:fillRect/>
                          </a:stretch>
                        </pic:blipFill>
                        <pic:spPr>
                          <a:xfrm>
                            <a:off x="0" y="0"/>
                            <a:ext cx="2778520" cy="2098263"/>
                          </a:xfrm>
                          <a:prstGeom prst="rect">
                            <a:avLst/>
                          </a:prstGeom>
                        </pic:spPr>
                      </pic:pic>
                    </a:graphicData>
                  </a:graphic>
                </wp:inline>
              </w:drawing>
            </w:r>
          </w:p>
        </w:tc>
        <w:tc>
          <w:tcPr>
            <w:tcW w:w="4675" w:type="dxa"/>
          </w:tcPr>
          <w:p w14:paraId="520DABB4" w14:textId="77777777" w:rsidR="00216C2B" w:rsidRDefault="00216C2B" w:rsidP="00321F1A">
            <w:pPr>
              <w:keepNext/>
              <w:overflowPunct/>
              <w:autoSpaceDE/>
              <w:autoSpaceDN/>
              <w:adjustRightInd/>
              <w:spacing w:after="0"/>
              <w:jc w:val="center"/>
              <w:textAlignment w:val="auto"/>
              <w:rPr>
                <w:rFonts w:ascii="Calibri" w:eastAsia="Times New Roman" w:hAnsi="Calibri" w:cs="Calibri"/>
                <w:sz w:val="22"/>
                <w:szCs w:val="22"/>
              </w:rPr>
            </w:pPr>
            <w:r w:rsidRPr="00186636">
              <w:rPr>
                <w:rFonts w:ascii="Calibri" w:eastAsia="Times New Roman" w:hAnsi="Calibri" w:cs="Calibri"/>
                <w:noProof/>
                <w:sz w:val="22"/>
                <w:szCs w:val="22"/>
              </w:rPr>
              <w:drawing>
                <wp:inline distT="0" distB="0" distL="0" distR="0" wp14:anchorId="63F71274" wp14:editId="188BE993">
                  <wp:extent cx="2769343" cy="2097405"/>
                  <wp:effectExtent l="0" t="0" r="0" b="0"/>
                  <wp:docPr id="1031" name="Picture 1031" descr="Chart, line chart&#10;&#10;Description automatically generated">
                    <a:extLst xmlns:a="http://schemas.openxmlformats.org/drawingml/2006/main">
                      <a:ext uri="{FF2B5EF4-FFF2-40B4-BE49-F238E27FC236}">
                        <a16:creationId xmlns:a16="http://schemas.microsoft.com/office/drawing/2014/main" id="{F0089558-9AA8-7D1F-6988-2D9F729501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descr="Chart, line chart&#10;&#10;Description automatically generated">
                            <a:extLst>
                              <a:ext uri="{FF2B5EF4-FFF2-40B4-BE49-F238E27FC236}">
                                <a16:creationId xmlns:a16="http://schemas.microsoft.com/office/drawing/2014/main" id="{F0089558-9AA8-7D1F-6988-2D9F72950151}"/>
                              </a:ext>
                            </a:extLst>
                          </pic:cNvPr>
                          <pic:cNvPicPr>
                            <a:picLocks noChangeAspect="1"/>
                          </pic:cNvPicPr>
                        </pic:nvPicPr>
                        <pic:blipFill>
                          <a:blip r:embed="rId39"/>
                          <a:stretch>
                            <a:fillRect/>
                          </a:stretch>
                        </pic:blipFill>
                        <pic:spPr>
                          <a:xfrm>
                            <a:off x="0" y="0"/>
                            <a:ext cx="2783037" cy="2107776"/>
                          </a:xfrm>
                          <a:prstGeom prst="rect">
                            <a:avLst/>
                          </a:prstGeom>
                        </pic:spPr>
                      </pic:pic>
                    </a:graphicData>
                  </a:graphic>
                </wp:inline>
              </w:drawing>
            </w:r>
          </w:p>
        </w:tc>
      </w:tr>
    </w:tbl>
    <w:p w14:paraId="791EE705" w14:textId="4636D1A9" w:rsidR="00216C2B" w:rsidRDefault="00A90F22" w:rsidP="00321F1A">
      <w:pPr>
        <w:pStyle w:val="Caption"/>
        <w:jc w:val="center"/>
        <w:rPr>
          <w:color w:val="auto"/>
          <w:sz w:val="20"/>
          <w:szCs w:val="20"/>
        </w:rPr>
      </w:pPr>
      <w:bookmarkStart w:id="27" w:name="_Ref127533500"/>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23</w:t>
      </w:r>
      <w:r w:rsidRPr="00321F1A">
        <w:rPr>
          <w:color w:val="auto"/>
          <w:sz w:val="20"/>
          <w:szCs w:val="20"/>
        </w:rPr>
        <w:fldChar w:fldCharType="end"/>
      </w:r>
      <w:r w:rsidRPr="00321F1A">
        <w:rPr>
          <w:color w:val="auto"/>
          <w:sz w:val="20"/>
          <w:szCs w:val="20"/>
        </w:rPr>
        <w:t xml:space="preserve"> MPR and potential power boost using FDSS</w:t>
      </w:r>
      <w:r w:rsidR="00F3654D">
        <w:rPr>
          <w:color w:val="auto"/>
          <w:sz w:val="20"/>
          <w:szCs w:val="20"/>
        </w:rPr>
        <w:t xml:space="preserve"> (using 3-tap filter [-0.28 1 -0.28])</w:t>
      </w:r>
      <w:r w:rsidRPr="00321F1A">
        <w:rPr>
          <w:color w:val="auto"/>
          <w:sz w:val="20"/>
          <w:szCs w:val="20"/>
        </w:rPr>
        <w:t xml:space="preserve"> with BWE. 25% excess BW is assumed.</w:t>
      </w:r>
      <w:bookmarkEnd w:id="27"/>
    </w:p>
    <w:tbl>
      <w:tblPr>
        <w:tblStyle w:val="TableGrid"/>
        <w:tblW w:w="0" w:type="auto"/>
        <w:tblLook w:val="04A0" w:firstRow="1" w:lastRow="0" w:firstColumn="1" w:lastColumn="0" w:noHBand="0" w:noVBand="1"/>
      </w:tblPr>
      <w:tblGrid>
        <w:gridCol w:w="4658"/>
        <w:gridCol w:w="4692"/>
      </w:tblGrid>
      <w:tr w:rsidR="00823E23" w14:paraId="60CBF029" w14:textId="77777777" w:rsidTr="00F05159">
        <w:tc>
          <w:tcPr>
            <w:tcW w:w="4675" w:type="dxa"/>
          </w:tcPr>
          <w:p w14:paraId="47A4D534" w14:textId="1D2A7B7C" w:rsidR="00F3654D" w:rsidRDefault="00823E23" w:rsidP="00F05159">
            <w:pPr>
              <w:overflowPunct/>
              <w:autoSpaceDE/>
              <w:autoSpaceDN/>
              <w:adjustRightInd/>
              <w:spacing w:after="0"/>
              <w:jc w:val="center"/>
              <w:textAlignment w:val="auto"/>
              <w:rPr>
                <w:rFonts w:ascii="Calibri" w:eastAsia="Times New Roman" w:hAnsi="Calibri" w:cs="Calibri"/>
                <w:sz w:val="22"/>
                <w:szCs w:val="22"/>
              </w:rPr>
            </w:pPr>
            <w:r w:rsidRPr="00823E23">
              <w:rPr>
                <w:rFonts w:ascii="Calibri" w:eastAsia="Times New Roman" w:hAnsi="Calibri" w:cs="Calibri"/>
                <w:noProof/>
                <w:sz w:val="22"/>
                <w:szCs w:val="22"/>
              </w:rPr>
              <w:drawing>
                <wp:inline distT="0" distB="0" distL="0" distR="0" wp14:anchorId="01CFF31B" wp14:editId="57521E89">
                  <wp:extent cx="2918460" cy="2198840"/>
                  <wp:effectExtent l="0" t="0" r="0" b="0"/>
                  <wp:docPr id="18" name="Picture 12">
                    <a:extLst xmlns:a="http://schemas.openxmlformats.org/drawingml/2006/main">
                      <a:ext uri="{FF2B5EF4-FFF2-40B4-BE49-F238E27FC236}">
                        <a16:creationId xmlns:a16="http://schemas.microsoft.com/office/drawing/2014/main" id="{4F574687-96AB-52C7-C345-0980B5209C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F574687-96AB-52C7-C345-0980B5209C69}"/>
                              </a:ext>
                            </a:extLst>
                          </pic:cNvPr>
                          <pic:cNvPicPr>
                            <a:picLocks noChangeAspect="1"/>
                          </pic:cNvPicPr>
                        </pic:nvPicPr>
                        <pic:blipFill>
                          <a:blip r:embed="rId40"/>
                          <a:stretch>
                            <a:fillRect/>
                          </a:stretch>
                        </pic:blipFill>
                        <pic:spPr>
                          <a:xfrm>
                            <a:off x="0" y="0"/>
                            <a:ext cx="2938732" cy="2214113"/>
                          </a:xfrm>
                          <a:prstGeom prst="rect">
                            <a:avLst/>
                          </a:prstGeom>
                        </pic:spPr>
                      </pic:pic>
                    </a:graphicData>
                  </a:graphic>
                </wp:inline>
              </w:drawing>
            </w:r>
          </w:p>
        </w:tc>
        <w:tc>
          <w:tcPr>
            <w:tcW w:w="4675" w:type="dxa"/>
          </w:tcPr>
          <w:p w14:paraId="199413E5" w14:textId="733FB537" w:rsidR="00F3654D" w:rsidRDefault="009B5CF7" w:rsidP="00F05159">
            <w:pPr>
              <w:keepNext/>
              <w:overflowPunct/>
              <w:autoSpaceDE/>
              <w:autoSpaceDN/>
              <w:adjustRightInd/>
              <w:spacing w:after="0"/>
              <w:jc w:val="center"/>
              <w:textAlignment w:val="auto"/>
              <w:rPr>
                <w:rFonts w:ascii="Calibri" w:eastAsia="Times New Roman" w:hAnsi="Calibri" w:cs="Calibri"/>
                <w:sz w:val="22"/>
                <w:szCs w:val="22"/>
              </w:rPr>
            </w:pPr>
            <w:r w:rsidRPr="009B5CF7">
              <w:rPr>
                <w:rFonts w:ascii="Calibri" w:eastAsia="Times New Roman" w:hAnsi="Calibri" w:cs="Calibri"/>
                <w:noProof/>
                <w:sz w:val="22"/>
                <w:szCs w:val="22"/>
              </w:rPr>
              <w:drawing>
                <wp:inline distT="0" distB="0" distL="0" distR="0" wp14:anchorId="6E17F0CB" wp14:editId="6CC8AD95">
                  <wp:extent cx="2941198" cy="2198370"/>
                  <wp:effectExtent l="0" t="0" r="0" b="0"/>
                  <wp:docPr id="15" name="Content Placeholder 10">
                    <a:extLst xmlns:a="http://schemas.openxmlformats.org/drawingml/2006/main">
                      <a:ext uri="{FF2B5EF4-FFF2-40B4-BE49-F238E27FC236}">
                        <a16:creationId xmlns:a16="http://schemas.microsoft.com/office/drawing/2014/main" id="{62693948-9489-C4C0-D72A-0ADAA51020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62693948-9489-C4C0-D72A-0ADAA51020BE}"/>
                              </a:ext>
                            </a:extLst>
                          </pic:cNvPr>
                          <pic:cNvPicPr>
                            <a:picLocks noGrp="1" noChangeAspect="1"/>
                          </pic:cNvPicPr>
                        </pic:nvPicPr>
                        <pic:blipFill>
                          <a:blip r:embed="rId41"/>
                          <a:stretch>
                            <a:fillRect/>
                          </a:stretch>
                        </pic:blipFill>
                        <pic:spPr>
                          <a:xfrm>
                            <a:off x="0" y="0"/>
                            <a:ext cx="2970465" cy="2220245"/>
                          </a:xfrm>
                          <a:prstGeom prst="rect">
                            <a:avLst/>
                          </a:prstGeom>
                        </pic:spPr>
                      </pic:pic>
                    </a:graphicData>
                  </a:graphic>
                </wp:inline>
              </w:drawing>
            </w:r>
          </w:p>
        </w:tc>
      </w:tr>
    </w:tbl>
    <w:p w14:paraId="0AC94909" w14:textId="44A10020" w:rsidR="00F3654D" w:rsidRDefault="00F3654D" w:rsidP="00F3654D">
      <w:pPr>
        <w:pStyle w:val="Caption"/>
        <w:jc w:val="center"/>
        <w:rPr>
          <w:color w:val="auto"/>
          <w:sz w:val="20"/>
          <w:szCs w:val="20"/>
        </w:rPr>
      </w:pPr>
      <w:bookmarkStart w:id="28" w:name="_Ref131757694"/>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24</w:t>
      </w:r>
      <w:r w:rsidRPr="00321F1A">
        <w:rPr>
          <w:color w:val="auto"/>
          <w:sz w:val="20"/>
          <w:szCs w:val="20"/>
        </w:rPr>
        <w:fldChar w:fldCharType="end"/>
      </w:r>
      <w:bookmarkEnd w:id="28"/>
      <w:r w:rsidRPr="00321F1A">
        <w:rPr>
          <w:color w:val="auto"/>
          <w:sz w:val="20"/>
          <w:szCs w:val="20"/>
        </w:rPr>
        <w:t xml:space="preserve"> MPR and potential power boost using FDSS</w:t>
      </w:r>
      <w:r w:rsidR="00AA2FFF">
        <w:rPr>
          <w:color w:val="auto"/>
          <w:sz w:val="20"/>
          <w:szCs w:val="20"/>
        </w:rPr>
        <w:t xml:space="preserve"> (using TRRC(0.5, 0.1667))</w:t>
      </w:r>
      <w:r w:rsidRPr="00321F1A">
        <w:rPr>
          <w:color w:val="auto"/>
          <w:sz w:val="20"/>
          <w:szCs w:val="20"/>
        </w:rPr>
        <w:t xml:space="preserve"> with BWE. 25% excess BW is assumed.</w:t>
      </w:r>
    </w:p>
    <w:p w14:paraId="1439679B" w14:textId="77777777" w:rsidR="00F3654D" w:rsidRPr="00F3654D" w:rsidRDefault="00F3654D" w:rsidP="00F3654D">
      <w:pPr>
        <w:rPr>
          <w:lang w:val="en-GB"/>
        </w:rPr>
      </w:pPr>
    </w:p>
    <w:p w14:paraId="37650BEE" w14:textId="77777777" w:rsidR="00556D28" w:rsidRPr="008B4038" w:rsidRDefault="00556D28" w:rsidP="00556D28">
      <w:pPr>
        <w:jc w:val="both"/>
        <w:rPr>
          <w:b/>
          <w:bCs/>
          <w:u w:val="single"/>
        </w:rPr>
      </w:pPr>
      <w:r w:rsidRPr="008B4038">
        <w:rPr>
          <w:b/>
          <w:bCs/>
          <w:u w:val="single"/>
        </w:rPr>
        <w:t>Caveats on power boost</w:t>
      </w:r>
    </w:p>
    <w:p w14:paraId="3A8780D4" w14:textId="77777777" w:rsidR="00556D28" w:rsidRDefault="00556D28" w:rsidP="00556D28">
      <w:pPr>
        <w:jc w:val="both"/>
      </w:pPr>
      <w:r>
        <w:t xml:space="preserve">It is non-trivial for a PC2 UE to transmit at powers greater than 26 dBm. Several RF challenges arise and the overall feasibility and reliability of such a UE warrants scrutiny. In particular, the additional input current to a PA and its </w:t>
      </w:r>
      <w:r>
        <w:lastRenderedPageBreak/>
        <w:t xml:space="preserve">implication on the design of the RF transceiver, thermal issues, reliability issues around RF components that have to sustain larger powers need to be examined closely. </w:t>
      </w:r>
    </w:p>
    <w:p w14:paraId="3191990A" w14:textId="77777777" w:rsidR="00216C2B" w:rsidRDefault="00216C2B" w:rsidP="00216C2B">
      <w:pPr>
        <w:overflowPunct/>
        <w:autoSpaceDE/>
        <w:autoSpaceDN/>
        <w:adjustRightInd/>
        <w:spacing w:after="0"/>
        <w:jc w:val="both"/>
        <w:textAlignment w:val="auto"/>
        <w:rPr>
          <w:rFonts w:ascii="Calibri" w:eastAsia="Times New Roman" w:hAnsi="Calibri" w:cs="Calibri"/>
          <w:sz w:val="22"/>
          <w:szCs w:val="22"/>
        </w:rPr>
      </w:pPr>
    </w:p>
    <w:tbl>
      <w:tblPr>
        <w:tblStyle w:val="TableGrid"/>
        <w:tblW w:w="0" w:type="auto"/>
        <w:tblLook w:val="04A0" w:firstRow="1" w:lastRow="0" w:firstColumn="1" w:lastColumn="0" w:noHBand="0" w:noVBand="1"/>
      </w:tblPr>
      <w:tblGrid>
        <w:gridCol w:w="9350"/>
      </w:tblGrid>
      <w:tr w:rsidR="00216C2B" w14:paraId="1C311EEA" w14:textId="77777777" w:rsidTr="008B4038">
        <w:tc>
          <w:tcPr>
            <w:tcW w:w="9350" w:type="dxa"/>
          </w:tcPr>
          <w:p w14:paraId="39A8CF9A" w14:textId="46D365C8" w:rsidR="00216C2B" w:rsidRDefault="00216C2B" w:rsidP="008B4038">
            <w:pPr>
              <w:jc w:val="both"/>
            </w:pPr>
            <w:r w:rsidRPr="008B4038">
              <w:rPr>
                <w:b/>
                <w:bCs/>
              </w:rPr>
              <w:t>Observation</w:t>
            </w:r>
            <w:r w:rsidR="004E7724">
              <w:rPr>
                <w:b/>
                <w:bCs/>
              </w:rPr>
              <w:t xml:space="preserve"> 8</w:t>
            </w:r>
            <w:r w:rsidRPr="008B4038">
              <w:rPr>
                <w:b/>
                <w:bCs/>
              </w:rPr>
              <w:t>:</w:t>
            </w:r>
            <w:r>
              <w:t xml:space="preserve"> For a PC2 UE, when a BW expansion factor of 25% is allowed, non-transparent FDSS can result in a potential power boost of about 1.</w:t>
            </w:r>
            <w:r w:rsidR="004C193A">
              <w:t>5-1.</w:t>
            </w:r>
            <w:r>
              <w:t>8 dB for inner RB allocations</w:t>
            </w:r>
            <w:r w:rsidR="007056F8">
              <w:t>, depending on the filter used</w:t>
            </w:r>
            <w:r>
              <w:t>. No MPR is required for any inner or outer waveform. Note that these results do not take other RF implementation challenges into account.</w:t>
            </w:r>
          </w:p>
        </w:tc>
      </w:tr>
    </w:tbl>
    <w:p w14:paraId="247CAC51" w14:textId="5DEB60FD" w:rsidR="007D51BD" w:rsidRDefault="007D51BD" w:rsidP="007D51BD">
      <w:pPr>
        <w:rPr>
          <w:lang w:val="en-GB"/>
        </w:rPr>
      </w:pPr>
    </w:p>
    <w:p w14:paraId="670CDECC" w14:textId="01461867" w:rsidR="00556D28" w:rsidRDefault="00556D28" w:rsidP="00321F1A">
      <w:pPr>
        <w:pStyle w:val="Heading4"/>
      </w:pPr>
      <w:r>
        <w:t>Net Coverage Gain</w:t>
      </w:r>
    </w:p>
    <w:p w14:paraId="7BA80916" w14:textId="481A6F2B" w:rsidR="00FA0E83" w:rsidRDefault="00FA0E83" w:rsidP="00DC36CB">
      <w:pPr>
        <w:jc w:val="both"/>
        <w:rPr>
          <w:lang w:val="en-GB"/>
        </w:rPr>
      </w:pPr>
      <w:r>
        <w:rPr>
          <w:lang w:val="en-GB"/>
        </w:rPr>
        <w:t xml:space="preserve">Using the potential power boost presented in the previous section, we aim to assess the net coverage gain that one can realize using FDSS with BWE. </w:t>
      </w:r>
      <w:r w:rsidRPr="00BD1F86">
        <w:rPr>
          <w:lang w:val="en-GB"/>
        </w:rPr>
        <w:t xml:space="preserve">In the following table, we carry out such an analysis for the set of 10 scenarios agreed in the last meeting for calibration. We use link performance curves to assess the additional SNR required when </w:t>
      </w:r>
      <w:r w:rsidR="009761AF">
        <w:rPr>
          <w:lang w:val="en-GB"/>
        </w:rPr>
        <w:t>FDSS</w:t>
      </w:r>
      <w:r w:rsidRPr="00BD1F86">
        <w:rPr>
          <w:lang w:val="en-GB"/>
        </w:rPr>
        <w:t xml:space="preserve"> is used compared to the case where all RBs are used towards legacy PUSCH transmission</w:t>
      </w:r>
      <w:r w:rsidR="00D55D61">
        <w:rPr>
          <w:lang w:val="en-GB"/>
        </w:rPr>
        <w:t>.</w:t>
      </w:r>
      <w:r w:rsidR="00DC36CB">
        <w:rPr>
          <w:lang w:val="en-GB"/>
        </w:rPr>
        <w:t xml:space="preserve"> The results are presented </w:t>
      </w:r>
      <w:r w:rsidR="00DC36CB" w:rsidRPr="00D105D2">
        <w:rPr>
          <w:lang w:val="en-GB"/>
        </w:rPr>
        <w:t xml:space="preserve">in </w:t>
      </w:r>
      <w:r w:rsidR="00F46B38" w:rsidRPr="00D105D2">
        <w:rPr>
          <w:lang w:val="en-GB"/>
        </w:rPr>
        <w:fldChar w:fldCharType="begin"/>
      </w:r>
      <w:r w:rsidR="00F46B38" w:rsidRPr="00D105D2">
        <w:rPr>
          <w:lang w:val="en-GB"/>
        </w:rPr>
        <w:instrText xml:space="preserve"> REF _Ref127535462 \h </w:instrText>
      </w:r>
      <w:r w:rsidR="00D105D2" w:rsidRPr="00D105D2">
        <w:rPr>
          <w:lang w:val="en-GB"/>
        </w:rPr>
        <w:instrText xml:space="preserve"> \* MERGEFORMAT </w:instrText>
      </w:r>
      <w:r w:rsidR="00F46B38" w:rsidRPr="00D105D2">
        <w:rPr>
          <w:lang w:val="en-GB"/>
        </w:rPr>
      </w:r>
      <w:r w:rsidR="00F46B38" w:rsidRPr="00D105D2">
        <w:rPr>
          <w:lang w:val="en-GB"/>
        </w:rPr>
        <w:fldChar w:fldCharType="separate"/>
      </w:r>
      <w:r w:rsidR="00EA7EC4" w:rsidRPr="00EA7EC4">
        <w:t xml:space="preserve">Table </w:t>
      </w:r>
      <w:r w:rsidR="00EA7EC4" w:rsidRPr="00EA7EC4">
        <w:rPr>
          <w:noProof/>
        </w:rPr>
        <w:t>7</w:t>
      </w:r>
      <w:r w:rsidR="00F46B38" w:rsidRPr="00D105D2">
        <w:rPr>
          <w:lang w:val="en-GB"/>
        </w:rPr>
        <w:fldChar w:fldCharType="end"/>
      </w:r>
      <w:r w:rsidR="00F46B38" w:rsidRPr="00D105D2">
        <w:rPr>
          <w:lang w:val="en-GB"/>
        </w:rPr>
        <w:t xml:space="preserve"> and </w:t>
      </w:r>
      <w:r w:rsidR="00F46B38" w:rsidRPr="00D105D2">
        <w:rPr>
          <w:lang w:val="en-GB"/>
        </w:rPr>
        <w:fldChar w:fldCharType="begin"/>
      </w:r>
      <w:r w:rsidR="00F46B38" w:rsidRPr="00D105D2">
        <w:rPr>
          <w:lang w:val="en-GB"/>
        </w:rPr>
        <w:instrText xml:space="preserve"> REF _Ref131760256 \h </w:instrText>
      </w:r>
      <w:r w:rsidR="00D105D2" w:rsidRPr="00D105D2">
        <w:rPr>
          <w:lang w:val="en-GB"/>
        </w:rPr>
        <w:instrText xml:space="preserve"> \* MERGEFORMAT </w:instrText>
      </w:r>
      <w:r w:rsidR="00F46B38" w:rsidRPr="00D105D2">
        <w:rPr>
          <w:lang w:val="en-GB"/>
        </w:rPr>
      </w:r>
      <w:r w:rsidR="00F46B38" w:rsidRPr="00D105D2">
        <w:rPr>
          <w:lang w:val="en-GB"/>
        </w:rPr>
        <w:fldChar w:fldCharType="separate"/>
      </w:r>
      <w:r w:rsidR="00EA7EC4" w:rsidRPr="00EA7EC4">
        <w:rPr>
          <w:color w:val="000000" w:themeColor="text1"/>
        </w:rPr>
        <w:t xml:space="preserve">Table </w:t>
      </w:r>
      <w:r w:rsidR="00EA7EC4" w:rsidRPr="00EA7EC4">
        <w:rPr>
          <w:noProof/>
          <w:color w:val="000000" w:themeColor="text1"/>
        </w:rPr>
        <w:t>8</w:t>
      </w:r>
      <w:r w:rsidR="00F46B38" w:rsidRPr="00D105D2">
        <w:rPr>
          <w:lang w:val="en-GB"/>
        </w:rPr>
        <w:fldChar w:fldCharType="end"/>
      </w:r>
      <w:r w:rsidR="00D105D2" w:rsidRPr="00D105D2">
        <w:rPr>
          <w:lang w:val="en-GB"/>
        </w:rPr>
        <w:t xml:space="preserve"> for</w:t>
      </w:r>
      <w:r w:rsidR="00D105D2">
        <w:rPr>
          <w:lang w:val="en-GB"/>
        </w:rPr>
        <w:t xml:space="preserve"> FDSS with 3-tap filter and TRRC filter respectively.</w:t>
      </w:r>
    </w:p>
    <w:p w14:paraId="29F4A147" w14:textId="71C5D4B2" w:rsidR="007D51BD" w:rsidRPr="007E6DF0" w:rsidRDefault="00B501F9" w:rsidP="00DC36CB">
      <w:pPr>
        <w:jc w:val="both"/>
      </w:pPr>
      <w:r>
        <w:t xml:space="preserve">It is seen that the net impact of FDSS on coverage is </w:t>
      </w:r>
      <w:r w:rsidR="00912863">
        <w:t xml:space="preserve">dependent on many factors including code rate, RB allocation size, and the filter type used. Broadly, FDSS </w:t>
      </w:r>
      <w:r w:rsidR="004324FF">
        <w:t xml:space="preserve">shows </w:t>
      </w:r>
      <w:r w:rsidR="004C04C5">
        <w:t>diminished</w:t>
      </w:r>
      <w:r w:rsidR="004324FF">
        <w:t xml:space="preserve"> gains as code rate</w:t>
      </w:r>
      <w:r w:rsidR="004029C3">
        <w:t xml:space="preserve"> and RB size</w:t>
      </w:r>
      <w:r w:rsidR="004324FF">
        <w:t xml:space="preserve"> increases. Filters such as the 3-tap filter seem </w:t>
      </w:r>
      <w:r w:rsidR="004029C3">
        <w:t xml:space="preserve">to lead to a net coverage loss due to link level losses while TRRC </w:t>
      </w:r>
      <w:r w:rsidR="00210C6A">
        <w:t xml:space="preserve">seems better at balancing link-level losses with shaping gains. </w:t>
      </w:r>
      <w:r w:rsidR="00912863">
        <w:t xml:space="preserve"> </w:t>
      </w:r>
    </w:p>
    <w:p w14:paraId="34500D76" w14:textId="30B6830A" w:rsidR="009761AF" w:rsidRPr="00321F1A" w:rsidRDefault="009761AF" w:rsidP="00321F1A">
      <w:pPr>
        <w:pStyle w:val="Caption"/>
        <w:keepNext/>
        <w:jc w:val="center"/>
        <w:rPr>
          <w:b/>
          <w:bCs/>
          <w:color w:val="auto"/>
          <w:sz w:val="20"/>
          <w:szCs w:val="20"/>
        </w:rPr>
      </w:pPr>
      <w:bookmarkStart w:id="29" w:name="_Ref127535462"/>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7</w:t>
      </w:r>
      <w:r w:rsidRPr="00321F1A">
        <w:rPr>
          <w:b/>
          <w:bCs/>
          <w:color w:val="auto"/>
          <w:sz w:val="20"/>
          <w:szCs w:val="20"/>
        </w:rPr>
        <w:fldChar w:fldCharType="end"/>
      </w:r>
      <w:bookmarkEnd w:id="29"/>
      <w:r w:rsidRPr="00321F1A">
        <w:rPr>
          <w:b/>
          <w:bCs/>
          <w:color w:val="auto"/>
          <w:sz w:val="20"/>
          <w:szCs w:val="20"/>
        </w:rPr>
        <w:t xml:space="preserve"> </w:t>
      </w:r>
      <w:r w:rsidR="00A27870" w:rsidRPr="00321F1A">
        <w:rPr>
          <w:b/>
          <w:bCs/>
          <w:color w:val="auto"/>
          <w:sz w:val="20"/>
          <w:szCs w:val="20"/>
        </w:rPr>
        <w:t xml:space="preserve">Coverage gain using </w:t>
      </w:r>
      <w:r w:rsidR="00A27870">
        <w:rPr>
          <w:b/>
          <w:bCs/>
          <w:color w:val="auto"/>
          <w:sz w:val="20"/>
          <w:szCs w:val="20"/>
        </w:rPr>
        <w:t>FDSS</w:t>
      </w:r>
      <w:r w:rsidR="00BB2C5C">
        <w:rPr>
          <w:b/>
          <w:bCs/>
          <w:color w:val="auto"/>
          <w:sz w:val="20"/>
          <w:szCs w:val="20"/>
        </w:rPr>
        <w:t xml:space="preserve"> (3-tap filter)</w:t>
      </w:r>
      <w:r w:rsidR="00A27870">
        <w:rPr>
          <w:b/>
          <w:bCs/>
          <w:color w:val="auto"/>
          <w:sz w:val="20"/>
          <w:szCs w:val="20"/>
        </w:rPr>
        <w:t xml:space="preserve"> and </w:t>
      </w:r>
      <w:r w:rsidR="00D55D61">
        <w:rPr>
          <w:b/>
          <w:bCs/>
          <w:color w:val="auto"/>
          <w:sz w:val="20"/>
          <w:szCs w:val="20"/>
        </w:rPr>
        <w:t>BWE.</w:t>
      </w:r>
    </w:p>
    <w:tbl>
      <w:tblPr>
        <w:tblW w:w="4202" w:type="pct"/>
        <w:jc w:val="center"/>
        <w:tblCellMar>
          <w:left w:w="0" w:type="dxa"/>
          <w:right w:w="0" w:type="dxa"/>
        </w:tblCellMar>
        <w:tblLook w:val="04A0" w:firstRow="1" w:lastRow="0" w:firstColumn="1" w:lastColumn="0" w:noHBand="0" w:noVBand="1"/>
      </w:tblPr>
      <w:tblGrid>
        <w:gridCol w:w="806"/>
        <w:gridCol w:w="839"/>
        <w:gridCol w:w="661"/>
        <w:gridCol w:w="1074"/>
        <w:gridCol w:w="1074"/>
        <w:gridCol w:w="475"/>
        <w:gridCol w:w="889"/>
        <w:gridCol w:w="589"/>
        <w:gridCol w:w="806"/>
        <w:gridCol w:w="636"/>
      </w:tblGrid>
      <w:tr w:rsidR="00823A11" w:rsidRPr="00E41AA4" w14:paraId="45D09960" w14:textId="77777777" w:rsidTr="00823A11">
        <w:trPr>
          <w:trHeight w:val="626"/>
          <w:jc w:val="center"/>
        </w:trPr>
        <w:tc>
          <w:tcPr>
            <w:tcW w:w="514"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F201D2A" w14:textId="2A8DF7ED"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6"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E0BA662"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37"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FFAB413"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FDB18C5"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3"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351E534"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0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7D2D91A"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823A11" w:rsidRPr="00E41AA4" w14:paraId="3144DEFB" w14:textId="77777777" w:rsidTr="00823A11">
        <w:trPr>
          <w:trHeight w:val="1251"/>
          <w:jc w:val="center"/>
        </w:trPr>
        <w:tc>
          <w:tcPr>
            <w:tcW w:w="514"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E98E50B" w14:textId="590F4132" w:rsidR="00823A11" w:rsidRPr="008B4038" w:rsidRDefault="00823A11" w:rsidP="008B4038">
            <w:pPr>
              <w:overflowPunct/>
              <w:autoSpaceDE/>
              <w:autoSpaceDN/>
              <w:adjustRightInd/>
              <w:spacing w:after="0"/>
              <w:jc w:val="center"/>
              <w:textAlignment w:val="auto"/>
              <w:rPr>
                <w:rFonts w:ascii="Arial" w:eastAsia="Times New Roman" w:hAnsi="Arial" w:cs="Arial"/>
              </w:rPr>
            </w:pPr>
          </w:p>
        </w:tc>
        <w:tc>
          <w:tcPr>
            <w:tcW w:w="53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A97C9C8"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42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C25085A"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3BE2091"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FF4132C"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30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190572C"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6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96D2B2B"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C1DF7F2" w14:textId="77777777" w:rsidR="00823A11" w:rsidRPr="008B4038" w:rsidRDefault="00823A11" w:rsidP="008B4038">
            <w:pPr>
              <w:overflowPunct/>
              <w:autoSpaceDE/>
              <w:autoSpaceDN/>
              <w:adjustRightInd/>
              <w:spacing w:after="0"/>
              <w:textAlignment w:val="auto"/>
              <w:rPr>
                <w:rFonts w:ascii="Arial" w:eastAsia="Times New Roman" w:hAnsi="Arial" w:cs="Arial"/>
              </w:rPr>
            </w:pPr>
          </w:p>
        </w:tc>
        <w:tc>
          <w:tcPr>
            <w:tcW w:w="51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4BDEB56" w14:textId="39450C28" w:rsidR="00823A11" w:rsidRPr="008B4038" w:rsidRDefault="00823A11" w:rsidP="008B4038">
            <w:pPr>
              <w:overflowPunct/>
              <w:autoSpaceDE/>
              <w:autoSpaceDN/>
              <w:adjustRightInd/>
              <w:spacing w:after="0"/>
              <w:jc w:val="center"/>
              <w:textAlignment w:val="auto"/>
              <w:rPr>
                <w:rFonts w:ascii="Arial" w:eastAsia="Times New Roman" w:hAnsi="Arial" w:cs="Arial"/>
              </w:rPr>
            </w:pPr>
          </w:p>
        </w:tc>
        <w:tc>
          <w:tcPr>
            <w:tcW w:w="40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4FA15CA" w14:textId="77777777" w:rsidR="00823A11" w:rsidRPr="008B4038" w:rsidRDefault="00823A11" w:rsidP="008B4038">
            <w:pPr>
              <w:overflowPunct/>
              <w:autoSpaceDE/>
              <w:autoSpaceDN/>
              <w:adjustRightInd/>
              <w:spacing w:after="0"/>
              <w:textAlignment w:val="auto"/>
              <w:rPr>
                <w:rFonts w:ascii="Arial" w:eastAsia="Times New Roman" w:hAnsi="Arial" w:cs="Arial"/>
              </w:rPr>
            </w:pPr>
          </w:p>
        </w:tc>
      </w:tr>
      <w:tr w:rsidR="00823A11" w:rsidRPr="00E41AA4" w14:paraId="399C44BB"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A2B03D9" w14:textId="28F03113"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F3F6C4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F2AC95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7</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77A389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6D9BE9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A726AF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7F8A16" w14:textId="49FE3EF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E1327A" w14:textId="219777E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1.9</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75A4CE9" w14:textId="2304DD2B"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E455145" w14:textId="3C612758"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-0.7</w:t>
            </w:r>
          </w:p>
        </w:tc>
      </w:tr>
      <w:tr w:rsidR="00823A11" w:rsidRPr="00E41AA4" w14:paraId="0268C1A8"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B0599EB" w14:textId="4ADE9B46"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EE99F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C96AC5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B5F7F1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99B999B"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16099B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9</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1F5C31D" w14:textId="39C16B1C"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C4B343B" w14:textId="58F7B088"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2.1</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C1FBB2F" w14:textId="21546902"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85CEEBE" w14:textId="500CC40C"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-0.9</w:t>
            </w:r>
          </w:p>
        </w:tc>
      </w:tr>
      <w:tr w:rsidR="00823A11" w:rsidRPr="00E41AA4" w14:paraId="3AEA1308"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7D9F50B" w14:textId="313C4506"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F9A648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10EEB4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65748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3339E88"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0E559230"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3D5F98F" w14:textId="4C36D68E"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2D38651" w14:textId="7030B511"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7D4A113" w14:textId="179F4EBB"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33432F7" w14:textId="559C11A8"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1.2</w:t>
            </w:r>
          </w:p>
        </w:tc>
      </w:tr>
      <w:tr w:rsidR="00823A11" w:rsidRPr="00E41AA4" w14:paraId="50239E9D"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0E8E7C2" w14:textId="70BFF6BB"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0FCCC0"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32EC25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3E215E3"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36E8B9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2EE0FC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1E0ED56" w14:textId="6ED1E711"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CFDC932" w14:textId="0F695F7E"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1.8</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F1C4B8B" w14:textId="58812C7B"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B8AFF2C" w14:textId="6E943E0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-0.1</w:t>
            </w:r>
          </w:p>
        </w:tc>
      </w:tr>
      <w:tr w:rsidR="00823A11" w:rsidRPr="00E41AA4" w14:paraId="46354AE2"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188C59B" w14:textId="7820E072"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711733E"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37F0A9B"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BC6D611"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60F2A75"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EDCB41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3F53A7C" w14:textId="059A5D15"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1D16B01" w14:textId="204F62E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0.7</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A02FBE7" w14:textId="2091607B"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868E2F" w14:textId="042F032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r>
      <w:tr w:rsidR="00823A11" w:rsidRPr="00E41AA4" w14:paraId="38B59464"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586900E" w14:textId="0373610A"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651154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FAABE8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45C2A8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ED8E6B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218F578"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28DCC65" w14:textId="0DF1A34F"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4E70354" w14:textId="7C5E80F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D776FAE" w14:textId="508676BF"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A04289A" w14:textId="51865055"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w:t>
            </w:r>
          </w:p>
        </w:tc>
      </w:tr>
      <w:tr w:rsidR="00823A11" w:rsidRPr="00E41AA4" w14:paraId="27DFDDB4"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90A81D1" w14:textId="4F536D14"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22FF5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0A9E92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163048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EB20DE1"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FCB5238"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61E143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AFB8FED" w14:textId="4E8C751A"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CD452D" w14:textId="206ADFA4"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1.8</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0E38D2A" w14:textId="2B8C9644"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1.3</w:t>
            </w:r>
          </w:p>
        </w:tc>
      </w:tr>
      <w:tr w:rsidR="00823A11" w:rsidRPr="00E41AA4" w14:paraId="0A2FB2EA"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2491B08" w14:textId="7D75424E"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99ED72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DB1A7F3"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384DD8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B32A1F5"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07C3D1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941B7B0"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30A439" w14:textId="167D9EB4"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0.9</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A18C48C" w14:textId="37202B25"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1.8</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338FE49" w14:textId="473F95B8"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0.9</w:t>
            </w:r>
          </w:p>
        </w:tc>
      </w:tr>
      <w:tr w:rsidR="00823A11" w:rsidRPr="00E41AA4" w14:paraId="428E7D01"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2EF7D8B" w14:textId="6C3E1650"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8B022B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830FC4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A4A3CC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D0A7F1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6BAD5F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8B07167" w14:textId="0A12B56A"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3FB471F" w14:textId="24EADA6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9E44DC6" w14:textId="60C84A26"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68872C9" w14:textId="7ED1734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1.2</w:t>
            </w:r>
          </w:p>
        </w:tc>
      </w:tr>
      <w:tr w:rsidR="00823A11" w:rsidRPr="00E41AA4" w14:paraId="5ABFF135"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F5E757D" w14:textId="004AA6E8"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5CE2C5B"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18860E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7FB0A9D"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4D2EA73"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A79073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0165665" w14:textId="0AC66154"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3FD27E0" w14:textId="4AF1B7F8"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0.1</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1EF8549" w14:textId="362B8CF2"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CD8EAE2" w14:textId="3FCAFEB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1.6</w:t>
            </w:r>
          </w:p>
        </w:tc>
      </w:tr>
    </w:tbl>
    <w:p w14:paraId="758B9A52" w14:textId="775F4E78" w:rsidR="00AC486D" w:rsidRDefault="00AC486D" w:rsidP="00AC486D">
      <w:pPr>
        <w:rPr>
          <w:lang w:val="en-GB"/>
        </w:rPr>
      </w:pPr>
    </w:p>
    <w:p w14:paraId="72D6DEAE" w14:textId="0AA6ED64" w:rsidR="00D55D61" w:rsidRPr="00D55D61" w:rsidRDefault="00D55D61" w:rsidP="00D55D61">
      <w:pPr>
        <w:pStyle w:val="Caption"/>
        <w:keepNext/>
        <w:jc w:val="center"/>
        <w:rPr>
          <w:b/>
          <w:bCs/>
          <w:color w:val="000000" w:themeColor="text1"/>
        </w:rPr>
      </w:pPr>
      <w:bookmarkStart w:id="30" w:name="_Ref131760256"/>
      <w:r w:rsidRPr="00D55D61">
        <w:rPr>
          <w:b/>
          <w:bCs/>
          <w:color w:val="000000" w:themeColor="text1"/>
        </w:rPr>
        <w:t xml:space="preserve">Table </w:t>
      </w:r>
      <w:r w:rsidRPr="00D55D61">
        <w:rPr>
          <w:b/>
          <w:bCs/>
          <w:color w:val="000000" w:themeColor="text1"/>
        </w:rPr>
        <w:fldChar w:fldCharType="begin"/>
      </w:r>
      <w:r w:rsidRPr="00D55D61">
        <w:rPr>
          <w:b/>
          <w:bCs/>
          <w:color w:val="000000" w:themeColor="text1"/>
        </w:rPr>
        <w:instrText xml:space="preserve"> SEQ Table \* ARABIC </w:instrText>
      </w:r>
      <w:r w:rsidRPr="00D55D61">
        <w:rPr>
          <w:b/>
          <w:bCs/>
          <w:color w:val="000000" w:themeColor="text1"/>
        </w:rPr>
        <w:fldChar w:fldCharType="separate"/>
      </w:r>
      <w:r w:rsidR="00EA7EC4">
        <w:rPr>
          <w:b/>
          <w:bCs/>
          <w:noProof/>
          <w:color w:val="000000" w:themeColor="text1"/>
        </w:rPr>
        <w:t>8</w:t>
      </w:r>
      <w:r w:rsidRPr="00D55D61">
        <w:rPr>
          <w:b/>
          <w:bCs/>
          <w:color w:val="000000" w:themeColor="text1"/>
        </w:rPr>
        <w:fldChar w:fldCharType="end"/>
      </w:r>
      <w:bookmarkEnd w:id="30"/>
      <w:r w:rsidRPr="00D55D61">
        <w:rPr>
          <w:b/>
          <w:bCs/>
          <w:color w:val="000000" w:themeColor="text1"/>
        </w:rPr>
        <w:t xml:space="preserve"> Coverage gain using FDSS (TRRC(0.5, 0.1667)) and BWE.</w:t>
      </w:r>
    </w:p>
    <w:tbl>
      <w:tblPr>
        <w:tblW w:w="4202" w:type="pct"/>
        <w:jc w:val="center"/>
        <w:tblCellMar>
          <w:left w:w="0" w:type="dxa"/>
          <w:right w:w="0" w:type="dxa"/>
        </w:tblCellMar>
        <w:tblLook w:val="04A0" w:firstRow="1" w:lastRow="0" w:firstColumn="1" w:lastColumn="0" w:noHBand="0" w:noVBand="1"/>
      </w:tblPr>
      <w:tblGrid>
        <w:gridCol w:w="803"/>
        <w:gridCol w:w="839"/>
        <w:gridCol w:w="661"/>
        <w:gridCol w:w="1074"/>
        <w:gridCol w:w="1074"/>
        <w:gridCol w:w="475"/>
        <w:gridCol w:w="892"/>
        <w:gridCol w:w="589"/>
        <w:gridCol w:w="806"/>
        <w:gridCol w:w="636"/>
      </w:tblGrid>
      <w:tr w:rsidR="00BB2C5C" w:rsidRPr="00E41AA4" w14:paraId="334A673D" w14:textId="77777777" w:rsidTr="00D55D61">
        <w:trPr>
          <w:trHeight w:val="626"/>
          <w:jc w:val="center"/>
        </w:trPr>
        <w:tc>
          <w:tcPr>
            <w:tcW w:w="512"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E466C39"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6"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EB2C33C"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39"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AF8D0CD"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66F39FE"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3"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4107FDE"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0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8064323"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BB2C5C" w:rsidRPr="00E41AA4" w14:paraId="382F159C" w14:textId="77777777" w:rsidTr="000D3CE7">
        <w:trPr>
          <w:trHeight w:val="1251"/>
          <w:jc w:val="center"/>
        </w:trPr>
        <w:tc>
          <w:tcPr>
            <w:tcW w:w="512"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8675A9D"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p>
        </w:tc>
        <w:tc>
          <w:tcPr>
            <w:tcW w:w="53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00C0F81"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42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BB92DE"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BFE21AC"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F5E80D9"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30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781FBF7"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68"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0AC2BBE"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6816D8E9" w14:textId="77777777" w:rsidR="00BB2C5C" w:rsidRPr="008B4038" w:rsidRDefault="00BB2C5C" w:rsidP="00F05159">
            <w:pPr>
              <w:overflowPunct/>
              <w:autoSpaceDE/>
              <w:autoSpaceDN/>
              <w:adjustRightInd/>
              <w:spacing w:after="0"/>
              <w:textAlignment w:val="auto"/>
              <w:rPr>
                <w:rFonts w:ascii="Arial" w:eastAsia="Times New Roman" w:hAnsi="Arial" w:cs="Arial"/>
              </w:rPr>
            </w:pPr>
          </w:p>
        </w:tc>
        <w:tc>
          <w:tcPr>
            <w:tcW w:w="51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F8C4806"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p>
        </w:tc>
        <w:tc>
          <w:tcPr>
            <w:tcW w:w="40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53B3EA44" w14:textId="77777777" w:rsidR="00BB2C5C" w:rsidRPr="008B4038" w:rsidRDefault="00BB2C5C" w:rsidP="00F05159">
            <w:pPr>
              <w:overflowPunct/>
              <w:autoSpaceDE/>
              <w:autoSpaceDN/>
              <w:adjustRightInd/>
              <w:spacing w:after="0"/>
              <w:textAlignment w:val="auto"/>
              <w:rPr>
                <w:rFonts w:ascii="Arial" w:eastAsia="Times New Roman" w:hAnsi="Arial" w:cs="Arial"/>
              </w:rPr>
            </w:pPr>
          </w:p>
        </w:tc>
      </w:tr>
      <w:tr w:rsidR="003C5AC5" w:rsidRPr="00E41AA4" w14:paraId="6A58F836"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15CD286"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10511C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A87FAD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7</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DAF504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9A81194"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FB74DC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2FC499"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19624B5" w14:textId="55E6919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80B08CD" w14:textId="096C7001"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A5D5A2A" w14:textId="20118C8A"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r>
      <w:tr w:rsidR="003C5AC5" w:rsidRPr="00E41AA4" w14:paraId="345FB71D"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23732AA"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A9F980C"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798DA9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E07226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2BFCF2B"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37B60F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9</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F42B97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DD2FC99" w14:textId="5C494A1F"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2317405" w14:textId="02AD65C0"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A604D9">
              <w:rPr>
                <w:rFonts w:asciiTheme="minorHAnsi" w:hAnsiTheme="minorHAnsi" w:cstheme="minorHAnsi"/>
                <w:b/>
                <w:bCs/>
                <w:color w:val="000000" w:themeColor="text1"/>
                <w:kern w:val="24"/>
              </w:rPr>
              <w:t>1</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E3C8FA6" w14:textId="51252C1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0.4</w:t>
            </w:r>
          </w:p>
        </w:tc>
      </w:tr>
      <w:tr w:rsidR="003C5AC5" w:rsidRPr="00E41AA4" w14:paraId="2EC903F7"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7009BEA"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D6A4BAE"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1E62CB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64E9F3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13F7519"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A7C28C2"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8346ACD"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DF20986" w14:textId="1A19A18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0.3</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964255B" w14:textId="6455F4AE"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1F9FF6E" w14:textId="5098AC1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1.4</w:t>
            </w:r>
          </w:p>
        </w:tc>
      </w:tr>
      <w:tr w:rsidR="003C5AC5" w:rsidRPr="00E41AA4" w14:paraId="07AD6FB9"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0A9EEDF"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3DE08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ADBEDF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4502C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889BA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FC75BA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E152D8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D7F7B09" w14:textId="0C0F22B6"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0.8</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A00BEC" w14:textId="3BB35B9C"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CF615C0" w14:textId="6ACE520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0.9</w:t>
            </w:r>
          </w:p>
        </w:tc>
      </w:tr>
      <w:tr w:rsidR="003C5AC5" w:rsidRPr="00E41AA4" w14:paraId="65F74AF0"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3A3C12F"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C36EBA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FB861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953F612"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51408F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CA82824"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A18F36C"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3F6A4D" w14:textId="47FC404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w:t>
            </w:r>
            <w:r w:rsidR="00F034E7">
              <w:rPr>
                <w:rFonts w:asciiTheme="minorHAnsi" w:eastAsia="Calibri" w:hAnsiTheme="minorHAnsi" w:cstheme="minorHAnsi"/>
                <w:b/>
                <w:bCs/>
                <w:color w:val="000000" w:themeColor="text1"/>
                <w:kern w:val="24"/>
              </w:rPr>
              <w:t>.1</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DDDCD50" w14:textId="28EA056D" w:rsidR="003C5AC5" w:rsidRPr="00F034E7"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F034E7">
              <w:rPr>
                <w:rFonts w:asciiTheme="minorHAnsi" w:hAnsiTheme="minorHAnsi" w:cstheme="minorHAnsi"/>
                <w:b/>
                <w:bCs/>
                <w:color w:val="000000" w:themeColor="text1"/>
                <w:kern w:val="24"/>
              </w:rPr>
              <w:t>1.</w:t>
            </w:r>
            <w:r w:rsidR="00EB7027" w:rsidRPr="00F034E7">
              <w:rPr>
                <w:rFonts w:asciiTheme="minorHAnsi" w:hAnsiTheme="minorHAnsi" w:cstheme="minorHAnsi"/>
                <w:b/>
                <w:bCs/>
                <w:color w:val="000000" w:themeColor="text1"/>
                <w:kern w:val="24"/>
              </w:rPr>
              <w:t>6</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11A3887" w14:textId="5F2ABE1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w:t>
            </w:r>
            <w:r w:rsidR="00F034E7">
              <w:rPr>
                <w:rFonts w:asciiTheme="minorHAnsi" w:eastAsia="Calibri" w:hAnsiTheme="minorHAnsi" w:cstheme="minorHAnsi"/>
                <w:b/>
                <w:bCs/>
                <w:color w:val="000000" w:themeColor="text1"/>
                <w:kern w:val="24"/>
              </w:rPr>
              <w:t>5</w:t>
            </w:r>
          </w:p>
        </w:tc>
      </w:tr>
      <w:tr w:rsidR="003C5AC5" w:rsidRPr="00E41AA4" w14:paraId="7DF905D8"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B02C65C"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4808F5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306CC6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6DB5052"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6A544A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D46FBCD"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736D87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E1B23C5" w14:textId="7FD1EFB6"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23834E6" w14:textId="6909C6E7" w:rsidR="003C5AC5" w:rsidRPr="00F034E7"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F034E7">
              <w:rPr>
                <w:rFonts w:asciiTheme="minorHAnsi" w:hAnsiTheme="minorHAnsi" w:cstheme="minorHAnsi"/>
                <w:b/>
                <w:bCs/>
                <w:color w:val="000000" w:themeColor="text1"/>
                <w:kern w:val="24"/>
              </w:rPr>
              <w:t>1.</w:t>
            </w:r>
            <w:r w:rsidR="00EB7027" w:rsidRPr="00F034E7">
              <w:rPr>
                <w:rFonts w:asciiTheme="minorHAnsi" w:hAnsiTheme="minorHAnsi" w:cstheme="minorHAnsi"/>
                <w:b/>
                <w:bCs/>
                <w:color w:val="000000" w:themeColor="text1"/>
                <w:kern w:val="24"/>
              </w:rPr>
              <w:t>6</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15250F7" w14:textId="565EB821" w:rsidR="003C5AC5" w:rsidRPr="003C5AC5" w:rsidRDefault="00F034E7"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Pr>
                <w:rFonts w:asciiTheme="minorHAnsi" w:eastAsia="Calibri" w:hAnsiTheme="minorHAnsi" w:cstheme="minorHAnsi"/>
                <w:b/>
                <w:bCs/>
                <w:color w:val="000000" w:themeColor="text1"/>
                <w:kern w:val="24"/>
              </w:rPr>
              <w:t>1</w:t>
            </w:r>
          </w:p>
        </w:tc>
      </w:tr>
      <w:tr w:rsidR="003C5AC5" w:rsidRPr="00E41AA4" w14:paraId="42C11DFA"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56221E2"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0BAC30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7D8BAE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874E8B"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1DCF26E"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44D27D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EFD968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184B7D3" w14:textId="571ECC87"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-0.1</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B8CDA04" w14:textId="539935A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594A66A" w14:textId="37AD177F"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1.3</w:t>
            </w:r>
          </w:p>
        </w:tc>
      </w:tr>
      <w:tr w:rsidR="003C5AC5" w:rsidRPr="00E41AA4" w14:paraId="1B251657"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5A7E820"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580C11C"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77D0C7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353FB0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7D25EE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C8F036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582779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9318D6E" w14:textId="066B4153"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0.1</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D0B7EB1" w14:textId="5BB5CCF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1.1</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D081BF3" w14:textId="6885FCD2"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w:t>
            </w:r>
          </w:p>
        </w:tc>
      </w:tr>
      <w:tr w:rsidR="003C5AC5" w:rsidRPr="00E41AA4" w14:paraId="24B6136D"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8D6D202"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437EB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C6183E9"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40E290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E49ECC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750C8CD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D830C8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785B3AD" w14:textId="7740E83E"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0.2</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F4AB2B6" w14:textId="101A783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FB6D92A" w14:textId="6282291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1.5</w:t>
            </w:r>
          </w:p>
        </w:tc>
      </w:tr>
      <w:tr w:rsidR="003C5AC5" w:rsidRPr="00E41AA4" w14:paraId="0ED85A28"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813F71D"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FC0E6B"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0C1F48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BCE370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12207E4"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195BBCD"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852789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EEA3ABC" w14:textId="366F857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-0.4</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ADC295E" w14:textId="6F60EB57"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B2BEAB7" w14:textId="74316E20"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2.1</w:t>
            </w:r>
          </w:p>
        </w:tc>
      </w:tr>
    </w:tbl>
    <w:p w14:paraId="05BBD9B0" w14:textId="77777777" w:rsidR="000D3CE7" w:rsidRDefault="000D3CE7" w:rsidP="00F14E5E">
      <w:pPr>
        <w:jc w:val="both"/>
        <w:rPr>
          <w:lang w:val="en-GB"/>
        </w:rPr>
      </w:pPr>
    </w:p>
    <w:tbl>
      <w:tblPr>
        <w:tblStyle w:val="TableGrid"/>
        <w:tblW w:w="0" w:type="auto"/>
        <w:tblLook w:val="04A0" w:firstRow="1" w:lastRow="0" w:firstColumn="1" w:lastColumn="0" w:noHBand="0" w:noVBand="1"/>
      </w:tblPr>
      <w:tblGrid>
        <w:gridCol w:w="9350"/>
      </w:tblGrid>
      <w:tr w:rsidR="000D3CE7" w14:paraId="2982858E" w14:textId="77777777" w:rsidTr="00F05159">
        <w:tc>
          <w:tcPr>
            <w:tcW w:w="9350" w:type="dxa"/>
          </w:tcPr>
          <w:p w14:paraId="30D9AB04" w14:textId="64DE1029" w:rsidR="000D3CE7" w:rsidRPr="0090305B" w:rsidRDefault="000D3CE7" w:rsidP="00F05159">
            <w:pPr>
              <w:jc w:val="both"/>
            </w:pPr>
            <w:r w:rsidRPr="004F7173">
              <w:rPr>
                <w:b/>
                <w:bCs/>
              </w:rPr>
              <w:t>Observation</w:t>
            </w:r>
            <w:r>
              <w:rPr>
                <w:b/>
                <w:bCs/>
              </w:rPr>
              <w:t xml:space="preserve"> 9</w:t>
            </w:r>
            <w:r w:rsidRPr="004F7173">
              <w:rPr>
                <w:b/>
                <w:bCs/>
              </w:rPr>
              <w:t>:</w:t>
            </w:r>
            <w:r>
              <w:t xml:space="preserve"> Based on the set </w:t>
            </w:r>
            <w:r w:rsidRPr="001B7A9A">
              <w:t xml:space="preserve">of results presented in </w:t>
            </w:r>
            <w:r w:rsidRPr="001B7A9A">
              <w:fldChar w:fldCharType="begin"/>
            </w:r>
            <w:r w:rsidRPr="001B7A9A">
              <w:instrText xml:space="preserve"> REF _Ref127535462 \h </w:instrText>
            </w:r>
            <w:r w:rsidRPr="00321F1A">
              <w:instrText xml:space="preserve"> \* MERGEFORMAT </w:instrText>
            </w:r>
            <w:r w:rsidRPr="001B7A9A">
              <w:fldChar w:fldCharType="separate"/>
            </w:r>
            <w:r w:rsidR="00EA7EC4" w:rsidRPr="00EA7EC4">
              <w:t xml:space="preserve">Table </w:t>
            </w:r>
            <w:r w:rsidR="00EA7EC4" w:rsidRPr="00EA7EC4">
              <w:rPr>
                <w:noProof/>
              </w:rPr>
              <w:t>7</w:t>
            </w:r>
            <w:r w:rsidRPr="001B7A9A">
              <w:fldChar w:fldCharType="end"/>
            </w:r>
            <w:r w:rsidRPr="001B7A9A">
              <w:t>, the net</w:t>
            </w:r>
            <w:r>
              <w:t xml:space="preserve"> coverage gain due to FDSS varies from 0.5 to 2 dB for inner RB allocations and depends on many factors including code rate, and filter type. A loss is noted in certain scenarios with high code rates when a 3-tap filter is used. Similar observations with smaller gains can be made for outer RB allocations.</w:t>
            </w:r>
          </w:p>
        </w:tc>
      </w:tr>
    </w:tbl>
    <w:p w14:paraId="5B8B1F69" w14:textId="77777777" w:rsidR="000D3CE7" w:rsidRDefault="000D3CE7" w:rsidP="00F14E5E">
      <w:pPr>
        <w:jc w:val="both"/>
        <w:rPr>
          <w:lang w:val="en-GB"/>
        </w:rPr>
      </w:pPr>
    </w:p>
    <w:p w14:paraId="382BDB6A" w14:textId="0340F2D6" w:rsidR="00F14E5E" w:rsidRPr="008B4038" w:rsidRDefault="00F14E5E" w:rsidP="00F14E5E">
      <w:pPr>
        <w:jc w:val="both"/>
        <w:rPr>
          <w:lang w:val="en-GB"/>
        </w:rPr>
      </w:pPr>
      <w:r w:rsidRPr="008B4038">
        <w:rPr>
          <w:lang w:val="en-GB"/>
        </w:rPr>
        <w:t xml:space="preserve">Next, we compare the above results with the coverage gain possible using transparent techniques and assess the net value of </w:t>
      </w:r>
      <w:r w:rsidR="005915DF">
        <w:rPr>
          <w:lang w:val="en-GB"/>
        </w:rPr>
        <w:t>FDSS</w:t>
      </w:r>
      <w:r w:rsidRPr="008B4038">
        <w:rPr>
          <w:lang w:val="en-GB"/>
        </w:rPr>
        <w:t>. The results are presented in the following table.</w:t>
      </w:r>
    </w:p>
    <w:p w14:paraId="66CD8528" w14:textId="77777777" w:rsidR="00F14E5E" w:rsidRDefault="00F14E5E" w:rsidP="00AC486D">
      <w:pPr>
        <w:rPr>
          <w:lang w:val="en-GB"/>
        </w:rPr>
      </w:pPr>
    </w:p>
    <w:p w14:paraId="7EB26825" w14:textId="73A1D111" w:rsidR="00A27870" w:rsidRPr="00321F1A" w:rsidRDefault="00A27870" w:rsidP="00321F1A">
      <w:pPr>
        <w:pStyle w:val="Caption"/>
        <w:keepNext/>
        <w:jc w:val="center"/>
        <w:rPr>
          <w:b/>
          <w:bCs/>
          <w:color w:val="auto"/>
        </w:rPr>
      </w:pPr>
      <w:r w:rsidRPr="00321F1A">
        <w:rPr>
          <w:b/>
          <w:bCs/>
          <w:color w:val="auto"/>
        </w:rPr>
        <w:t xml:space="preserve">Table </w:t>
      </w:r>
      <w:r w:rsidRPr="00321F1A">
        <w:rPr>
          <w:b/>
          <w:bCs/>
          <w:color w:val="auto"/>
        </w:rPr>
        <w:fldChar w:fldCharType="begin"/>
      </w:r>
      <w:r w:rsidRPr="00321F1A">
        <w:rPr>
          <w:b/>
          <w:bCs/>
          <w:color w:val="auto"/>
        </w:rPr>
        <w:instrText xml:space="preserve"> SEQ Table \* ARABIC </w:instrText>
      </w:r>
      <w:r w:rsidRPr="00321F1A">
        <w:rPr>
          <w:b/>
          <w:bCs/>
          <w:color w:val="auto"/>
        </w:rPr>
        <w:fldChar w:fldCharType="separate"/>
      </w:r>
      <w:r w:rsidR="00EA7EC4">
        <w:rPr>
          <w:b/>
          <w:bCs/>
          <w:noProof/>
          <w:color w:val="auto"/>
        </w:rPr>
        <w:t>9</w:t>
      </w:r>
      <w:r w:rsidRPr="00321F1A">
        <w:rPr>
          <w:b/>
          <w:bCs/>
          <w:color w:val="auto"/>
        </w:rPr>
        <w:fldChar w:fldCharType="end"/>
      </w:r>
      <w:r w:rsidRPr="00321F1A">
        <w:rPr>
          <w:b/>
          <w:bCs/>
          <w:color w:val="auto"/>
        </w:rPr>
        <w:t xml:space="preserve"> </w:t>
      </w:r>
      <w:r w:rsidRPr="00321F1A">
        <w:rPr>
          <w:b/>
          <w:bCs/>
          <w:color w:val="auto"/>
          <w:sz w:val="20"/>
          <w:szCs w:val="20"/>
        </w:rPr>
        <w:t xml:space="preserve">Coverage gain comparison between transparent techniques and </w:t>
      </w:r>
      <w:r w:rsidR="00E76A6A">
        <w:rPr>
          <w:b/>
          <w:bCs/>
          <w:color w:val="auto"/>
          <w:sz w:val="20"/>
          <w:szCs w:val="20"/>
        </w:rPr>
        <w:t>FDSS</w:t>
      </w:r>
    </w:p>
    <w:tbl>
      <w:tblPr>
        <w:tblW w:w="5000" w:type="pct"/>
        <w:jc w:val="center"/>
        <w:tblCellMar>
          <w:left w:w="0" w:type="dxa"/>
          <w:right w:w="0" w:type="dxa"/>
        </w:tblCellMar>
        <w:tblLook w:val="04A0" w:firstRow="1" w:lastRow="0" w:firstColumn="1" w:lastColumn="0" w:noHBand="0" w:noVBand="1"/>
      </w:tblPr>
      <w:tblGrid>
        <w:gridCol w:w="799"/>
        <w:gridCol w:w="777"/>
        <w:gridCol w:w="616"/>
        <w:gridCol w:w="996"/>
        <w:gridCol w:w="999"/>
        <w:gridCol w:w="430"/>
        <w:gridCol w:w="820"/>
        <w:gridCol w:w="966"/>
        <w:gridCol w:w="981"/>
        <w:gridCol w:w="981"/>
        <w:gridCol w:w="975"/>
      </w:tblGrid>
      <w:tr w:rsidR="00840FEA" w:rsidRPr="00E41AA4" w14:paraId="4268F0CE" w14:textId="6173C89D" w:rsidTr="00100CE8">
        <w:trPr>
          <w:trHeight w:val="626"/>
          <w:jc w:val="center"/>
        </w:trPr>
        <w:tc>
          <w:tcPr>
            <w:tcW w:w="428"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B742DE5" w14:textId="3E212F10"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 </w:t>
            </w:r>
            <w:r>
              <w:rPr>
                <w:rFonts w:ascii="Microsoft Sans Serif" w:eastAsia="Times New Roman" w:hAnsi="Microsoft Sans Serif" w:cs="Microsoft Sans Serif"/>
                <w:b/>
                <w:color w:val="F7F8FA"/>
                <w:kern w:val="24"/>
                <w:sz w:val="22"/>
                <w:szCs w:val="22"/>
              </w:rPr>
              <w:t>Case</w:t>
            </w:r>
          </w:p>
        </w:tc>
        <w:tc>
          <w:tcPr>
            <w:tcW w:w="746"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311A380" w14:textId="77777777"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737"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6BA4256" w14:textId="77777777"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517"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28FB91B" w14:textId="77777777"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5" w:type="pct"/>
            <w:tcBorders>
              <w:top w:val="single" w:sz="8" w:space="0" w:color="13161E"/>
              <w:left w:val="single" w:sz="8" w:space="0" w:color="F7F8FA"/>
              <w:bottom w:val="single" w:sz="24" w:space="0" w:color="F7F8FA"/>
              <w:right w:val="single" w:sz="8" w:space="0" w:color="F7F8FA"/>
            </w:tcBorders>
            <w:shd w:val="clear" w:color="auto" w:fill="2853DC"/>
            <w:vAlign w:val="center"/>
          </w:tcPr>
          <w:p w14:paraId="7B8730D9" w14:textId="2BFEFB50" w:rsidR="00840FEA" w:rsidRPr="00E41AA4" w:rsidRDefault="00100CE8" w:rsidP="00932F85">
            <w:pPr>
              <w:overflowPunct/>
              <w:autoSpaceDE/>
              <w:autoSpaceDN/>
              <w:adjustRightInd/>
              <w:spacing w:after="0"/>
              <w:jc w:val="center"/>
              <w:textAlignment w:val="auto"/>
              <w:rPr>
                <w:rFonts w:ascii="Calibri" w:eastAsia="Calibri" w:hAnsi="Calibri" w:cs="Calibri"/>
                <w:b/>
                <w:color w:val="F7F8FA"/>
                <w:kern w:val="24"/>
                <w:sz w:val="22"/>
                <w:szCs w:val="22"/>
              </w:rPr>
            </w:pPr>
            <w:r w:rsidRPr="00E41AA4">
              <w:rPr>
                <w:rFonts w:ascii="Calibri" w:eastAsia="Calibri" w:hAnsi="Calibri" w:cs="Calibri"/>
                <w:b/>
                <w:color w:val="F7F8FA"/>
                <w:kern w:val="24"/>
                <w:sz w:val="22"/>
                <w:szCs w:val="22"/>
              </w:rPr>
              <w:t>Net cov gain</w:t>
            </w:r>
          </w:p>
        </w:tc>
        <w:tc>
          <w:tcPr>
            <w:tcW w:w="52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7EBD0ECE" w14:textId="731EB15D"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2" w:type="pct"/>
            <w:tcBorders>
              <w:top w:val="single" w:sz="8" w:space="0" w:color="13161E"/>
              <w:left w:val="single" w:sz="8" w:space="0" w:color="F7F8FA"/>
              <w:bottom w:val="single" w:sz="24" w:space="0" w:color="F7F8FA"/>
              <w:right w:val="single" w:sz="8" w:space="0" w:color="F7F8FA"/>
            </w:tcBorders>
            <w:shd w:val="clear" w:color="auto" w:fill="2853DC"/>
            <w:vAlign w:val="center"/>
          </w:tcPr>
          <w:p w14:paraId="31E40F9E" w14:textId="109EFA4D" w:rsidR="00840FEA" w:rsidRPr="00E41AA4" w:rsidRDefault="00840FEA" w:rsidP="00932F85">
            <w:pPr>
              <w:overflowPunct/>
              <w:autoSpaceDE/>
              <w:autoSpaceDN/>
              <w:adjustRightInd/>
              <w:spacing w:after="0"/>
              <w:jc w:val="center"/>
              <w:textAlignment w:val="auto"/>
              <w:rPr>
                <w:rFonts w:ascii="Calibri" w:eastAsia="Calibri" w:hAnsi="Calibri" w:cs="Calibri"/>
                <w:b/>
                <w:color w:val="F7F8FA"/>
                <w:kern w:val="24"/>
                <w:sz w:val="22"/>
                <w:szCs w:val="22"/>
              </w:rPr>
            </w:pPr>
            <w:r w:rsidRPr="00E41AA4">
              <w:rPr>
                <w:rFonts w:ascii="Calibri" w:eastAsia="Calibri" w:hAnsi="Calibri" w:cs="Calibri"/>
                <w:b/>
                <w:color w:val="F7F8FA"/>
                <w:kern w:val="24"/>
                <w:sz w:val="22"/>
                <w:szCs w:val="22"/>
              </w:rPr>
              <w:t>Net cov gain</w:t>
            </w:r>
          </w:p>
        </w:tc>
      </w:tr>
      <w:tr w:rsidR="00840FEA" w:rsidRPr="00E41AA4" w14:paraId="4F3E8019" w14:textId="70049A39" w:rsidTr="00100CE8">
        <w:trPr>
          <w:trHeight w:val="1251"/>
          <w:jc w:val="center"/>
        </w:trPr>
        <w:tc>
          <w:tcPr>
            <w:tcW w:w="428"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EEAEDEB" w14:textId="58A367F1" w:rsidR="00840FEA" w:rsidRPr="008B4038" w:rsidRDefault="00840FEA" w:rsidP="00932F85">
            <w:pPr>
              <w:overflowPunct/>
              <w:autoSpaceDE/>
              <w:autoSpaceDN/>
              <w:adjustRightInd/>
              <w:spacing w:after="0"/>
              <w:jc w:val="center"/>
              <w:textAlignment w:val="auto"/>
              <w:rPr>
                <w:rFonts w:ascii="Arial" w:eastAsia="Times New Roman" w:hAnsi="Arial" w:cs="Arial"/>
                <w:sz w:val="18"/>
                <w:szCs w:val="18"/>
              </w:rPr>
            </w:pPr>
          </w:p>
        </w:tc>
        <w:tc>
          <w:tcPr>
            <w:tcW w:w="41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5B63D78"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w:t>
            </w:r>
          </w:p>
        </w:tc>
        <w:tc>
          <w:tcPr>
            <w:tcW w:w="33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B60EA0D"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MCS</w:t>
            </w:r>
          </w:p>
        </w:tc>
        <w:tc>
          <w:tcPr>
            <w:tcW w:w="53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FFFDD2D"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 before extension</w:t>
            </w:r>
          </w:p>
        </w:tc>
        <w:tc>
          <w:tcPr>
            <w:tcW w:w="53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5D4C2C5"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 after extension</w:t>
            </w:r>
          </w:p>
        </w:tc>
        <w:tc>
          <w:tcPr>
            <w:tcW w:w="23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E40B49D"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MCS</w:t>
            </w:r>
          </w:p>
        </w:tc>
        <w:tc>
          <w:tcPr>
            <w:tcW w:w="439"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35DDBF4"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Spectrum extension factor</w:t>
            </w:r>
          </w:p>
        </w:tc>
        <w:tc>
          <w:tcPr>
            <w:tcW w:w="517"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62CBEF36"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TrPC</w:t>
            </w:r>
          </w:p>
          <w:p w14:paraId="44A4E713"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25" w:type="pct"/>
            <w:tcBorders>
              <w:top w:val="single" w:sz="24" w:space="0" w:color="F7F8FA"/>
              <w:left w:val="single" w:sz="8" w:space="0" w:color="F7F8FA"/>
              <w:bottom w:val="single" w:sz="8" w:space="0" w:color="F7F8FA"/>
              <w:right w:val="single" w:sz="8" w:space="0" w:color="F7F8FA"/>
            </w:tcBorders>
            <w:shd w:val="clear" w:color="auto" w:fill="CDD1F2"/>
            <w:vAlign w:val="center"/>
          </w:tcPr>
          <w:p w14:paraId="30F80A20" w14:textId="77777777" w:rsidR="00100CE8" w:rsidRDefault="00100CE8" w:rsidP="00100CE8">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w:t>
            </w:r>
          </w:p>
          <w:p w14:paraId="79315490" w14:textId="36A9369B" w:rsidR="00840FEA" w:rsidRPr="008B4038" w:rsidRDefault="00100CE8" w:rsidP="00100CE8">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2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0541926E" w14:textId="5FFC9D74"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 xml:space="preserve">Non-trans. </w:t>
            </w:r>
            <w:r>
              <w:rPr>
                <w:rFonts w:ascii="Arial" w:eastAsia="Times New Roman" w:hAnsi="Arial" w:cs="Arial"/>
                <w:sz w:val="18"/>
                <w:szCs w:val="18"/>
              </w:rPr>
              <w:t>FDSS</w:t>
            </w:r>
          </w:p>
          <w:p w14:paraId="44E8DD3B"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p w14:paraId="3F9B4739" w14:textId="0C87733D"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(3-tap)</w:t>
            </w:r>
          </w:p>
        </w:tc>
        <w:tc>
          <w:tcPr>
            <w:tcW w:w="522" w:type="pct"/>
            <w:tcBorders>
              <w:top w:val="single" w:sz="24" w:space="0" w:color="F7F8FA"/>
              <w:left w:val="single" w:sz="8" w:space="0" w:color="F7F8FA"/>
              <w:bottom w:val="single" w:sz="8" w:space="0" w:color="F7F8FA"/>
              <w:right w:val="single" w:sz="8" w:space="0" w:color="F7F8FA"/>
            </w:tcBorders>
            <w:shd w:val="clear" w:color="auto" w:fill="CDD1F2"/>
            <w:vAlign w:val="center"/>
          </w:tcPr>
          <w:p w14:paraId="1F91F5A4"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 xml:space="preserve">Non-trans. </w:t>
            </w:r>
            <w:r>
              <w:rPr>
                <w:rFonts w:ascii="Arial" w:eastAsia="Times New Roman" w:hAnsi="Arial" w:cs="Arial"/>
                <w:sz w:val="18"/>
                <w:szCs w:val="18"/>
              </w:rPr>
              <w:t>FDSS</w:t>
            </w:r>
          </w:p>
          <w:p w14:paraId="10D76DBC"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p w14:paraId="7B9D64C7" w14:textId="2FB20394"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(TRRC)</w:t>
            </w:r>
          </w:p>
        </w:tc>
      </w:tr>
      <w:tr w:rsidR="00100CE8" w:rsidRPr="00E41AA4" w14:paraId="2CE7C978" w14:textId="722E1C9E"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BC50F08" w14:textId="0FD76970"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DE787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EC0C09B"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7</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A9BD73"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14</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1D58EA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8CED7D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23B230E" w14:textId="48E0C2E0"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1BCA2A8" w14:textId="7794C2A4"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486D4D05" w14:textId="4B52EA2C"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0.9</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CB8E750" w14:textId="7EEF967E"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-0.7</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6E0CDD32" w14:textId="034427D8"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0.6</w:t>
            </w:r>
          </w:p>
        </w:tc>
      </w:tr>
      <w:tr w:rsidR="00100CE8" w:rsidRPr="00E41AA4" w14:paraId="3AA36C63" w14:textId="24F41F2E"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328D75C" w14:textId="55F49BD8"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DACB4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4B60B82"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6E45F7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22ECE30"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8A8FA9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9</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5A2C6C1" w14:textId="71A0F519"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0AFA7AA" w14:textId="20FC0F6E"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292107ED" w14:textId="46EE721A"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0.8</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DBFFE86" w14:textId="207AFBF7"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-0.9</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445CE71A" w14:textId="68B93CCB"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0.4</w:t>
            </w:r>
          </w:p>
        </w:tc>
      </w:tr>
      <w:tr w:rsidR="00100CE8" w:rsidRPr="00E41AA4" w14:paraId="69C51C2B" w14:textId="2C30D3C7"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A81E13E" w14:textId="240B831D"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3AAC1B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D7750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CB19A0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46F14D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47FB0E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1B29996" w14:textId="46E7A53C"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BBAD925" w14:textId="68B1BA9C"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70AD06E2" w14:textId="449C1A4C"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A294F7C" w14:textId="5D7F1DF4"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1.2</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6839548E" w14:textId="255E21D9"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1.4</w:t>
            </w:r>
          </w:p>
        </w:tc>
      </w:tr>
      <w:tr w:rsidR="00100CE8" w:rsidRPr="00E41AA4" w14:paraId="76C9DE78" w14:textId="03EE5F1F"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9D6914F" w14:textId="63B99A61"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7916EE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592ACD"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4CBD6D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AFE8E56"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2A75FF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A19880F" w14:textId="3FBAD10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0856EB4" w14:textId="6264664F"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0B5DE194" w14:textId="33A9C10F"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0.6</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9F4E5A0" w14:textId="705F1963"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-0.1</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6AC3D777" w14:textId="2745541B"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0.9</w:t>
            </w:r>
          </w:p>
        </w:tc>
      </w:tr>
      <w:tr w:rsidR="00100CE8" w:rsidRPr="00E41AA4" w14:paraId="4F8F8B4A" w14:textId="2C7552BC"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3968979B" w14:textId="537A4EE5"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C8CF271"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63DD0C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C7F930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5392001"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B8DAEB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5756379" w14:textId="7CF1D866"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375F87E" w14:textId="16318501"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67603AC6" w14:textId="12602210"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FCAC3F4" w14:textId="0F4BBB61"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2BF3CAF8" w14:textId="62079235"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1.</w:t>
            </w:r>
            <w:r>
              <w:rPr>
                <w:rFonts w:asciiTheme="minorHAnsi" w:eastAsia="Calibri" w:hAnsiTheme="minorHAnsi" w:cstheme="minorHAnsi"/>
                <w:b/>
                <w:bCs/>
                <w:color w:val="000000" w:themeColor="text1"/>
                <w:kern w:val="24"/>
              </w:rPr>
              <w:t>5</w:t>
            </w:r>
          </w:p>
        </w:tc>
      </w:tr>
      <w:tr w:rsidR="00100CE8" w:rsidRPr="00E41AA4" w14:paraId="76395994" w14:textId="79D3064A"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0DF68C1" w14:textId="6DF574C9"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5C289E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331624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894CF5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FE3B66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D9F0F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CFE72F2" w14:textId="6507BF9B"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88C9CBC" w14:textId="7C8E2373"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661D7902" w14:textId="0D07697A"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0.6</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565A493" w14:textId="2FF50715"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2FA543D0" w14:textId="5ED2B099"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Pr>
                <w:rFonts w:asciiTheme="minorHAnsi" w:eastAsia="Calibri" w:hAnsiTheme="minorHAnsi" w:cstheme="minorHAnsi"/>
                <w:b/>
                <w:kern w:val="24"/>
              </w:rPr>
              <w:t>1</w:t>
            </w:r>
          </w:p>
        </w:tc>
      </w:tr>
      <w:tr w:rsidR="00100CE8" w:rsidRPr="00E41AA4" w14:paraId="7D28AACF" w14:textId="7FFE4583"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112E8C90" w14:textId="605604BE"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D3254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C4A4B7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3E0E4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10</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CB7029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3EB9FF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65A92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416AA0F" w14:textId="6A22CA16"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23C49DB1" w14:textId="7066207E"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1.3</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486F571" w14:textId="2961B0B3"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1.3</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58BDA288" w14:textId="1BCEC17C"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1.3</w:t>
            </w:r>
          </w:p>
        </w:tc>
      </w:tr>
      <w:tr w:rsidR="00100CE8" w:rsidRPr="00E41AA4" w14:paraId="7C4A9C77" w14:textId="37BE297F"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1C2DB7E5" w14:textId="5F00CE0E"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0F486DD"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FE68860"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A0ABEA4"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940656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67F19B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50AD16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B105EA5" w14:textId="53AF946B"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129EF301" w14:textId="18F9844D"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E0BADF1" w14:textId="7AD32E2A"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0.9</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154AC495" w14:textId="65E161D9"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1</w:t>
            </w:r>
          </w:p>
        </w:tc>
      </w:tr>
      <w:tr w:rsidR="00100CE8" w:rsidRPr="00E41AA4" w14:paraId="1C9ABE64" w14:textId="7A9A6811"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56186AD" w14:textId="3CEDD18B"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978880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006F43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5D4D2D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0A9D75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7EB76F9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E40A9CD" w14:textId="754E9591"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1BF1548" w14:textId="0A8C8EE7"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4ED6FBF7" w14:textId="375541A2"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AA05601" w14:textId="08B2CFB5"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1.2</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10974ADE" w14:textId="1273BDB1"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1.5</w:t>
            </w:r>
          </w:p>
        </w:tc>
      </w:tr>
      <w:tr w:rsidR="00100CE8" w:rsidRPr="00E41AA4" w14:paraId="7917CABD" w14:textId="5824DFBE"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786D51F" w14:textId="291312CF"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AAFB74"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C7D47E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D3CAD61"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BD4461F"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992CB9D"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F99E9ED" w14:textId="62CCC9F8"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EB0032A" w14:textId="3A8A4DC9"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w:t>
            </w:r>
            <w:r>
              <w:rPr>
                <w:rFonts w:ascii="Calibri" w:eastAsia="Calibri" w:hAnsi="Calibri" w:cs="Calibri"/>
                <w:b/>
                <w:bCs/>
                <w:kern w:val="24"/>
                <w:sz w:val="22"/>
                <w:szCs w:val="22"/>
              </w:rPr>
              <w:t>.2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622EE050" w14:textId="5CC3BE83"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1.7</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762279" w14:textId="000886FA"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1.6</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19A86108" w14:textId="7D40EC70"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2.1</w:t>
            </w:r>
          </w:p>
        </w:tc>
      </w:tr>
    </w:tbl>
    <w:p w14:paraId="62CE107D" w14:textId="1816B4C1" w:rsidR="00916FCA" w:rsidRDefault="00916FCA" w:rsidP="00AC486D">
      <w:pPr>
        <w:rPr>
          <w:lang w:val="en-GB"/>
        </w:rPr>
      </w:pPr>
    </w:p>
    <w:tbl>
      <w:tblPr>
        <w:tblStyle w:val="TableGrid"/>
        <w:tblW w:w="0" w:type="auto"/>
        <w:tblLook w:val="04A0" w:firstRow="1" w:lastRow="0" w:firstColumn="1" w:lastColumn="0" w:noHBand="0" w:noVBand="1"/>
      </w:tblPr>
      <w:tblGrid>
        <w:gridCol w:w="9350"/>
      </w:tblGrid>
      <w:tr w:rsidR="00267E25" w14:paraId="7D355E95" w14:textId="77777777" w:rsidTr="00267E25">
        <w:tc>
          <w:tcPr>
            <w:tcW w:w="9350" w:type="dxa"/>
          </w:tcPr>
          <w:p w14:paraId="6F006526" w14:textId="5AEA7D90" w:rsidR="00267E25" w:rsidRDefault="00267E25" w:rsidP="00AC486D">
            <w:r>
              <w:rPr>
                <w:b/>
                <w:bCs/>
              </w:rPr>
              <w:lastRenderedPageBreak/>
              <w:t>Observation</w:t>
            </w:r>
            <w:r w:rsidR="005915DF">
              <w:rPr>
                <w:b/>
                <w:bCs/>
              </w:rPr>
              <w:t xml:space="preserve"> 10</w:t>
            </w:r>
            <w:r>
              <w:rPr>
                <w:b/>
                <w:bCs/>
              </w:rPr>
              <w:t xml:space="preserve">: </w:t>
            </w:r>
            <w:r>
              <w:t>FDSS</w:t>
            </w:r>
            <w:r w:rsidR="005915DF">
              <w:t xml:space="preserve"> with BWE</w:t>
            </w:r>
            <w:r>
              <w:t xml:space="preserve"> provides marginal gains compared to transparent techniques for certain specific inner RB allocations. In some cases, a net loss in coverage of more than 0.5 dB is observed</w:t>
            </w:r>
            <w:r w:rsidR="00C824B5">
              <w:t xml:space="preserve"> when the 3-tap filter is used</w:t>
            </w:r>
            <w:r>
              <w:t xml:space="preserve">. </w:t>
            </w:r>
            <w:r w:rsidR="00DC5B2C">
              <w:t>Scenarios</w:t>
            </w:r>
            <w:r>
              <w:t xml:space="preserve"> with high coding rate seem to see a large impact</w:t>
            </w:r>
            <w:r w:rsidR="00683F77">
              <w:t xml:space="preserve"> --- e</w:t>
            </w:r>
            <w:r>
              <w:t xml:space="preserve">xcess BW is noted to have a detrimental impact on performance as it further increases the required coding rate. </w:t>
            </w:r>
          </w:p>
        </w:tc>
      </w:tr>
    </w:tbl>
    <w:p w14:paraId="3A21028A" w14:textId="77777777" w:rsidR="00267E25" w:rsidRDefault="00267E25" w:rsidP="00AC486D">
      <w:pPr>
        <w:rPr>
          <w:lang w:val="en-GB"/>
        </w:rPr>
      </w:pPr>
    </w:p>
    <w:p w14:paraId="6590A84C" w14:textId="67170339" w:rsidR="006B4AF2" w:rsidRDefault="006B4AF2" w:rsidP="00AC486D">
      <w:pPr>
        <w:rPr>
          <w:lang w:val="en-GB"/>
        </w:rPr>
      </w:pPr>
      <w:r>
        <w:rPr>
          <w:lang w:val="en-GB"/>
        </w:rPr>
        <w:t>Based on these observations, we make the following proposal on non-transparent techniques for MPR/PAPR optimization:</w:t>
      </w:r>
    </w:p>
    <w:tbl>
      <w:tblPr>
        <w:tblStyle w:val="TableGrid"/>
        <w:tblW w:w="0" w:type="auto"/>
        <w:tblLook w:val="04A0" w:firstRow="1" w:lastRow="0" w:firstColumn="1" w:lastColumn="0" w:noHBand="0" w:noVBand="1"/>
      </w:tblPr>
      <w:tblGrid>
        <w:gridCol w:w="9350"/>
      </w:tblGrid>
      <w:tr w:rsidR="00267E25" w14:paraId="2DE94E57" w14:textId="77777777" w:rsidTr="00267E25">
        <w:tc>
          <w:tcPr>
            <w:tcW w:w="9350" w:type="dxa"/>
          </w:tcPr>
          <w:p w14:paraId="1EFB689F" w14:textId="2BB10C82" w:rsidR="00267E25" w:rsidRPr="00321F1A" w:rsidRDefault="00267E25" w:rsidP="00AC486D">
            <w:r w:rsidRPr="008B4038">
              <w:rPr>
                <w:b/>
                <w:bCs/>
              </w:rPr>
              <w:t>Proposal</w:t>
            </w:r>
            <w:r w:rsidR="006B4AF2">
              <w:rPr>
                <w:b/>
                <w:bCs/>
              </w:rPr>
              <w:t xml:space="preserve"> </w:t>
            </w:r>
            <w:r w:rsidR="00902B8A">
              <w:rPr>
                <w:b/>
                <w:bCs/>
              </w:rPr>
              <w:t>7</w:t>
            </w:r>
            <w:r w:rsidRPr="008B4038">
              <w:rPr>
                <w:b/>
                <w:bCs/>
              </w:rPr>
              <w:t>:</w:t>
            </w:r>
            <w: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r w:rsidR="00715A49">
              <w:t xml:space="preserve">In particular, study </w:t>
            </w:r>
            <w:r w:rsidR="00AB6B9A">
              <w:t xml:space="preserve">mechanisms required to enable a UE to transmit at </w:t>
            </w:r>
            <w:r w:rsidR="00192C6E">
              <w:t>a power exceeding its power class.</w:t>
            </w:r>
          </w:p>
        </w:tc>
      </w:tr>
    </w:tbl>
    <w:p w14:paraId="795420A7" w14:textId="25DA5F30" w:rsidR="00916FCA" w:rsidRDefault="00916FCA" w:rsidP="00AC486D">
      <w:pPr>
        <w:rPr>
          <w:rFonts w:eastAsia="MS Mincho"/>
          <w:lang w:val="en-GB" w:eastAsia="en-GB"/>
        </w:rPr>
      </w:pPr>
    </w:p>
    <w:p w14:paraId="7B09B2CC" w14:textId="4AB90B6F" w:rsidR="0096481E" w:rsidRDefault="00F42522" w:rsidP="00F42522">
      <w:pPr>
        <w:pStyle w:val="Heading3"/>
        <w:rPr>
          <w:lang w:eastAsia="zh-CN"/>
        </w:rPr>
      </w:pPr>
      <w:bookmarkStart w:id="31" w:name="_Ref131761839"/>
      <w:bookmarkStart w:id="32" w:name="_Hlk23927392"/>
      <w:r>
        <w:rPr>
          <w:lang w:eastAsia="zh-CN"/>
        </w:rPr>
        <w:t>Signalling</w:t>
      </w:r>
      <w:r w:rsidR="0096481E">
        <w:rPr>
          <w:lang w:eastAsia="zh-CN"/>
        </w:rPr>
        <w:t xml:space="preserve"> aspects for FDSS with </w:t>
      </w:r>
      <w:r>
        <w:rPr>
          <w:lang w:eastAsia="zh-CN"/>
        </w:rPr>
        <w:t>bandwidth expansion</w:t>
      </w:r>
    </w:p>
    <w:p w14:paraId="66813459" w14:textId="63A33420" w:rsidR="00AE3286" w:rsidRDefault="00ED305E" w:rsidP="000076EC">
      <w:pPr>
        <w:jc w:val="both"/>
        <w:rPr>
          <w:lang w:val="en-GB" w:eastAsia="zh-CN"/>
        </w:rPr>
      </w:pPr>
      <w:r>
        <w:rPr>
          <w:lang w:val="en-GB" w:eastAsia="zh-CN"/>
        </w:rPr>
        <w:t>In the last meeting the potential set of extension factors for FDSS</w:t>
      </w:r>
      <w:r w:rsidR="003B1498">
        <w:rPr>
          <w:lang w:val="en-GB" w:eastAsia="zh-CN"/>
        </w:rPr>
        <w:t xml:space="preserve"> and signaling aspects </w:t>
      </w:r>
      <w:r w:rsidR="00AE3286">
        <w:rPr>
          <w:lang w:val="en-GB" w:eastAsia="zh-CN"/>
        </w:rPr>
        <w:t>for FDRA were discussed but no agreements were made.</w:t>
      </w:r>
      <w:r w:rsidR="00490001">
        <w:rPr>
          <w:lang w:val="en-GB" w:eastAsia="zh-CN"/>
        </w:rPr>
        <w:t xml:space="preserve"> In this section we provide some commentary on these aspects.</w:t>
      </w:r>
    </w:p>
    <w:p w14:paraId="07138FE9" w14:textId="1C90DDB2" w:rsidR="00856EC6" w:rsidRDefault="00856EC6" w:rsidP="000076EC">
      <w:pPr>
        <w:jc w:val="both"/>
        <w:rPr>
          <w:lang w:val="en-GB" w:eastAsia="zh-CN"/>
        </w:rPr>
      </w:pPr>
      <w:r>
        <w:rPr>
          <w:lang w:val="en-GB" w:eastAsia="zh-CN"/>
        </w:rPr>
        <w:t xml:space="preserve">If FDSS with BWE is agreed to be specified, </w:t>
      </w:r>
      <w:r>
        <w:rPr>
          <w:lang w:val="en-GB" w:eastAsia="zh-CN"/>
        </w:rPr>
        <w:t>it needs to coexist with legacy PUSCH operation.</w:t>
      </w:r>
      <w:r w:rsidR="00DE0F22">
        <w:rPr>
          <w:lang w:val="en-GB" w:eastAsia="zh-CN"/>
        </w:rPr>
        <w:t xml:space="preserve"> The use of FDSS with BWE may be limited to certain specific coverage</w:t>
      </w:r>
      <w:r w:rsidR="006762C9">
        <w:rPr>
          <w:lang w:val="en-GB" w:eastAsia="zh-CN"/>
        </w:rPr>
        <w:t>-</w:t>
      </w:r>
      <w:r w:rsidR="00DE0F22">
        <w:rPr>
          <w:lang w:val="en-GB" w:eastAsia="zh-CN"/>
        </w:rPr>
        <w:t xml:space="preserve">limited scenarios and it may not make sense to </w:t>
      </w:r>
      <w:r w:rsidR="00DF56AB">
        <w:rPr>
          <w:lang w:val="en-GB" w:eastAsia="zh-CN"/>
        </w:rPr>
        <w:t>enable</w:t>
      </w:r>
      <w:r w:rsidR="00B918F3">
        <w:rPr>
          <w:lang w:val="en-GB" w:eastAsia="zh-CN"/>
        </w:rPr>
        <w:t>/disable</w:t>
      </w:r>
      <w:r w:rsidR="00DF56AB">
        <w:rPr>
          <w:lang w:val="en-GB" w:eastAsia="zh-CN"/>
        </w:rPr>
        <w:t xml:space="preserve"> FDSS via RRC.</w:t>
      </w:r>
      <w:r w:rsidR="00B60DEA">
        <w:rPr>
          <w:lang w:val="en-GB" w:eastAsia="zh-CN"/>
        </w:rPr>
        <w:t xml:space="preserve"> A mechanism to dynamically indicate this new mode of operation needs to be specified. </w:t>
      </w:r>
    </w:p>
    <w:p w14:paraId="308D0974" w14:textId="37B7B3A8" w:rsidR="00724484" w:rsidRDefault="00E81C6F" w:rsidP="000076EC">
      <w:pPr>
        <w:jc w:val="both"/>
        <w:rPr>
          <w:lang w:val="en-GB" w:eastAsia="zh-CN"/>
        </w:rPr>
      </w:pPr>
      <w:r w:rsidRPr="00074B4D">
        <w:rPr>
          <w:b/>
          <w:bCs/>
          <w:lang w:val="en-GB" w:eastAsia="zh-CN"/>
        </w:rPr>
        <w:t>Proposal</w:t>
      </w:r>
      <w:r w:rsidR="001C70BA">
        <w:rPr>
          <w:b/>
          <w:bCs/>
          <w:lang w:val="en-GB" w:eastAsia="zh-CN"/>
        </w:rPr>
        <w:t xml:space="preserve"> </w:t>
      </w:r>
      <w:r w:rsidR="00F252FA">
        <w:rPr>
          <w:b/>
          <w:bCs/>
          <w:lang w:val="en-GB" w:eastAsia="zh-CN"/>
        </w:rPr>
        <w:t>8</w:t>
      </w:r>
      <w:r>
        <w:rPr>
          <w:lang w:val="en-GB" w:eastAsia="zh-CN"/>
        </w:rPr>
        <w:t xml:space="preserve">: </w:t>
      </w:r>
      <w:r w:rsidR="00724484">
        <w:rPr>
          <w:lang w:val="en-GB" w:eastAsia="zh-CN"/>
        </w:rPr>
        <w:t>If FDSS with BWE is agreed to be specified,</w:t>
      </w:r>
      <w:r w:rsidR="00724484">
        <w:rPr>
          <w:lang w:val="en-GB" w:eastAsia="zh-CN"/>
        </w:rPr>
        <w:t xml:space="preserve"> </w:t>
      </w:r>
      <w:r w:rsidR="00003267">
        <w:rPr>
          <w:lang w:val="en-GB" w:eastAsia="zh-CN"/>
        </w:rPr>
        <w:t>introduce a</w:t>
      </w:r>
      <w:r w:rsidR="00724484">
        <w:rPr>
          <w:lang w:val="en-GB" w:eastAsia="zh-CN"/>
        </w:rPr>
        <w:t xml:space="preserve"> mechanism t</w:t>
      </w:r>
      <w:r w:rsidR="007D321D">
        <w:rPr>
          <w:lang w:val="en-GB" w:eastAsia="zh-CN"/>
        </w:rPr>
        <w:t xml:space="preserve">o </w:t>
      </w:r>
      <w:r w:rsidR="00A754F6">
        <w:rPr>
          <w:lang w:val="en-GB" w:eastAsia="zh-CN"/>
        </w:rPr>
        <w:t xml:space="preserve">dynamically enable or disable </w:t>
      </w:r>
      <w:r w:rsidR="00050DE9">
        <w:rPr>
          <w:lang w:val="en-GB" w:eastAsia="zh-CN"/>
        </w:rPr>
        <w:t xml:space="preserve">this mode of operation. </w:t>
      </w:r>
    </w:p>
    <w:p w14:paraId="524496E7" w14:textId="390A84AE" w:rsidR="00490001" w:rsidRDefault="00B560C3" w:rsidP="000076EC">
      <w:pPr>
        <w:jc w:val="both"/>
        <w:rPr>
          <w:lang w:val="en-GB" w:eastAsia="zh-CN"/>
        </w:rPr>
      </w:pPr>
      <w:r>
        <w:rPr>
          <w:lang w:val="en-GB" w:eastAsia="zh-CN"/>
        </w:rPr>
        <w:t xml:space="preserve">Next, </w:t>
      </w:r>
      <w:r w:rsidR="007B02C3">
        <w:rPr>
          <w:lang w:val="en-GB" w:eastAsia="zh-CN"/>
        </w:rPr>
        <w:t xml:space="preserve">how exactly BWE is </w:t>
      </w:r>
      <w:r w:rsidR="0058675D">
        <w:rPr>
          <w:lang w:val="en-GB" w:eastAsia="zh-CN"/>
        </w:rPr>
        <w:t>conveyed</w:t>
      </w:r>
      <w:r w:rsidR="007B02C3">
        <w:rPr>
          <w:lang w:val="en-GB" w:eastAsia="zh-CN"/>
        </w:rPr>
        <w:t xml:space="preserve"> to the UE can be viewed from two perspectives.</w:t>
      </w:r>
      <w:r w:rsidR="00565D8D">
        <w:rPr>
          <w:lang w:val="en-GB" w:eastAsia="zh-CN"/>
        </w:rPr>
        <w:t xml:space="preserve"> BWE can be conveyed either in the form of a</w:t>
      </w:r>
      <w:r w:rsidR="00EE6E2D">
        <w:rPr>
          <w:lang w:val="en-GB" w:eastAsia="zh-CN"/>
        </w:rPr>
        <w:t xml:space="preserve">n </w:t>
      </w:r>
      <w:r w:rsidR="00565D8D">
        <w:rPr>
          <w:lang w:val="en-GB" w:eastAsia="zh-CN"/>
        </w:rPr>
        <w:t>extension factor or it can be in the form of a number</w:t>
      </w:r>
      <w:r w:rsidR="009B0022">
        <w:rPr>
          <w:lang w:val="en-GB" w:eastAsia="zh-CN"/>
        </w:rPr>
        <w:t xml:space="preserve"> of excess RBs. For example, we can have a 6 RB inband allocation with 2 excess RBs or equivalently, </w:t>
      </w:r>
      <w:r w:rsidR="00C56D51">
        <w:rPr>
          <w:lang w:val="en-GB" w:eastAsia="zh-CN"/>
        </w:rPr>
        <w:t xml:space="preserve">indicate </w:t>
      </w:r>
      <w:r w:rsidR="00216BD5">
        <w:rPr>
          <w:lang w:val="en-GB" w:eastAsia="zh-CN"/>
        </w:rPr>
        <w:t>a total of 8 RBs with an extension factor of ¼, resulting in 6 inband RBs and 2 excess RBs.</w:t>
      </w:r>
      <w:r w:rsidR="00EA729F">
        <w:rPr>
          <w:lang w:val="en-GB" w:eastAsia="zh-CN"/>
        </w:rPr>
        <w:t xml:space="preserve"> </w:t>
      </w:r>
    </w:p>
    <w:p w14:paraId="2EF17291" w14:textId="08CC0F9C" w:rsidR="00001B90" w:rsidRDefault="00E12102" w:rsidP="000076EC">
      <w:pPr>
        <w:jc w:val="both"/>
        <w:rPr>
          <w:lang w:val="en-GB" w:eastAsia="zh-CN"/>
        </w:rPr>
      </w:pPr>
      <w:r w:rsidRPr="00E40789">
        <w:rPr>
          <w:b/>
          <w:bCs/>
          <w:lang w:val="en-GB" w:eastAsia="zh-CN"/>
        </w:rPr>
        <w:t>Proposal</w:t>
      </w:r>
      <w:r w:rsidR="001C70BA">
        <w:rPr>
          <w:b/>
          <w:bCs/>
          <w:lang w:val="en-GB" w:eastAsia="zh-CN"/>
        </w:rPr>
        <w:t xml:space="preserve"> </w:t>
      </w:r>
      <w:r w:rsidR="00F252FA">
        <w:rPr>
          <w:b/>
          <w:bCs/>
          <w:lang w:val="en-GB" w:eastAsia="zh-CN"/>
        </w:rPr>
        <w:t>9</w:t>
      </w:r>
      <w:r>
        <w:rPr>
          <w:lang w:val="en-GB" w:eastAsia="zh-CN"/>
        </w:rPr>
        <w:t>: If FDSS with BWE is agreed to be specified,</w:t>
      </w:r>
      <w:r w:rsidR="00001B90">
        <w:rPr>
          <w:lang w:val="en-GB" w:eastAsia="zh-CN"/>
        </w:rPr>
        <w:t xml:space="preserve"> </w:t>
      </w:r>
      <w:r w:rsidR="002B0EA5">
        <w:rPr>
          <w:lang w:val="en-GB" w:eastAsia="zh-CN"/>
        </w:rPr>
        <w:t>downselect one of the following approaches</w:t>
      </w:r>
      <w:r w:rsidR="00555865">
        <w:rPr>
          <w:lang w:val="en-GB" w:eastAsia="zh-CN"/>
        </w:rPr>
        <w:t xml:space="preserve"> for </w:t>
      </w:r>
      <w:r w:rsidR="00555865">
        <w:rPr>
          <w:lang w:val="en-GB" w:eastAsia="zh-CN"/>
        </w:rPr>
        <w:t>indicating BWE to the UE</w:t>
      </w:r>
      <w:r w:rsidR="00555865">
        <w:rPr>
          <w:lang w:val="en-GB" w:eastAsia="zh-CN"/>
        </w:rPr>
        <w:t>:</w:t>
      </w:r>
    </w:p>
    <w:p w14:paraId="4114BA44" w14:textId="03A2D9B2" w:rsidR="00001B90" w:rsidRDefault="00242AB7" w:rsidP="000076EC">
      <w:pPr>
        <w:pStyle w:val="ListParagraph"/>
        <w:numPr>
          <w:ilvl w:val="0"/>
          <w:numId w:val="64"/>
        </w:numPr>
        <w:jc w:val="both"/>
        <w:rPr>
          <w:lang w:val="en-GB" w:eastAsia="zh-CN"/>
        </w:rPr>
      </w:pPr>
      <w:r>
        <w:rPr>
          <w:lang w:val="en-GB" w:eastAsia="zh-CN"/>
        </w:rPr>
        <w:t xml:space="preserve">Option 1: </w:t>
      </w:r>
      <w:r w:rsidR="00001B90">
        <w:rPr>
          <w:lang w:val="en-GB" w:eastAsia="zh-CN"/>
        </w:rPr>
        <w:t>Explicit indication of the number of excess RBs</w:t>
      </w:r>
    </w:p>
    <w:p w14:paraId="449FFD19" w14:textId="25198DD9" w:rsidR="002B0EA5" w:rsidRDefault="002B0EA5" w:rsidP="000076EC">
      <w:pPr>
        <w:pStyle w:val="ListParagraph"/>
        <w:numPr>
          <w:ilvl w:val="1"/>
          <w:numId w:val="64"/>
        </w:numPr>
        <w:jc w:val="both"/>
        <w:rPr>
          <w:lang w:val="en-GB" w:eastAsia="zh-CN"/>
        </w:rPr>
      </w:pPr>
      <w:r>
        <w:rPr>
          <w:lang w:val="en-GB" w:eastAsia="zh-CN"/>
        </w:rPr>
        <w:t>FFS: set of allowed excess RBs</w:t>
      </w:r>
      <w:r w:rsidR="004C720C">
        <w:rPr>
          <w:lang w:val="en-GB" w:eastAsia="zh-CN"/>
        </w:rPr>
        <w:t>, for e.g., 2, 4, 6, and 8</w:t>
      </w:r>
    </w:p>
    <w:p w14:paraId="6CAFD156" w14:textId="65FFCE20" w:rsidR="00001B90" w:rsidRDefault="00242AB7" w:rsidP="000076EC">
      <w:pPr>
        <w:pStyle w:val="ListParagraph"/>
        <w:numPr>
          <w:ilvl w:val="0"/>
          <w:numId w:val="64"/>
        </w:numPr>
        <w:jc w:val="both"/>
        <w:rPr>
          <w:lang w:val="en-GB" w:eastAsia="zh-CN"/>
        </w:rPr>
      </w:pPr>
      <w:r>
        <w:rPr>
          <w:lang w:val="en-GB" w:eastAsia="zh-CN"/>
        </w:rPr>
        <w:t xml:space="preserve">Option 2: </w:t>
      </w:r>
      <w:r w:rsidR="001E6C9B">
        <w:rPr>
          <w:lang w:val="en-GB" w:eastAsia="zh-CN"/>
        </w:rPr>
        <w:t>Explicit indication of the extension factor, with number of excess RBs derived based on FDRA and the extension factor</w:t>
      </w:r>
      <w:r w:rsidR="0035779B">
        <w:rPr>
          <w:lang w:val="en-GB" w:eastAsia="zh-CN"/>
        </w:rPr>
        <w:t>.</w:t>
      </w:r>
    </w:p>
    <w:p w14:paraId="5EBD79E6" w14:textId="09BA647A" w:rsidR="001E6C9B" w:rsidRPr="000559D2" w:rsidRDefault="002B0EA5" w:rsidP="000076EC">
      <w:pPr>
        <w:pStyle w:val="ListParagraph"/>
        <w:numPr>
          <w:ilvl w:val="1"/>
          <w:numId w:val="64"/>
        </w:numPr>
        <w:jc w:val="both"/>
        <w:rPr>
          <w:lang w:val="en-GB" w:eastAsia="zh-CN"/>
        </w:rPr>
      </w:pPr>
      <w:r w:rsidRPr="000559D2">
        <w:rPr>
          <w:lang w:val="en-GB" w:eastAsia="zh-CN"/>
        </w:rPr>
        <w:t>FFS: set of allowed extension factors</w:t>
      </w:r>
    </w:p>
    <w:p w14:paraId="26E41A3D" w14:textId="76074824" w:rsidR="00F42522" w:rsidRDefault="00242AB7" w:rsidP="000076EC">
      <w:pPr>
        <w:jc w:val="both"/>
        <w:rPr>
          <w:lang w:val="en-GB" w:eastAsia="zh-CN"/>
        </w:rPr>
      </w:pPr>
      <w:r>
        <w:rPr>
          <w:lang w:val="en-GB" w:eastAsia="zh-CN"/>
        </w:rPr>
        <w:t xml:space="preserve">Option </w:t>
      </w:r>
      <w:r w:rsidR="005430BA">
        <w:rPr>
          <w:lang w:val="en-GB" w:eastAsia="zh-CN"/>
        </w:rPr>
        <w:t xml:space="preserve">1 </w:t>
      </w:r>
      <w:r w:rsidR="008C7B74">
        <w:rPr>
          <w:lang w:val="en-GB" w:eastAsia="zh-CN"/>
        </w:rPr>
        <w:t xml:space="preserve">provides flexibility </w:t>
      </w:r>
      <w:r w:rsidR="005430BA">
        <w:rPr>
          <w:lang w:val="en-GB" w:eastAsia="zh-CN"/>
        </w:rPr>
        <w:t xml:space="preserve">to </w:t>
      </w:r>
      <w:r w:rsidR="000D1CB2">
        <w:rPr>
          <w:lang w:val="en-GB" w:eastAsia="zh-CN"/>
        </w:rPr>
        <w:t>enable excess RBs with RB allocation</w:t>
      </w:r>
      <w:r w:rsidR="00847F78">
        <w:rPr>
          <w:lang w:val="en-GB" w:eastAsia="zh-CN"/>
        </w:rPr>
        <w:t>s</w:t>
      </w:r>
      <w:r w:rsidR="000D1CB2">
        <w:rPr>
          <w:lang w:val="en-GB" w:eastAsia="zh-CN"/>
        </w:rPr>
        <w:t xml:space="preserve"> of any size.</w:t>
      </w:r>
      <w:r w:rsidR="008C7B74">
        <w:rPr>
          <w:lang w:val="en-GB" w:eastAsia="zh-CN"/>
        </w:rPr>
        <w:t xml:space="preserve"> For example, gNB can configure </w:t>
      </w:r>
      <w:r w:rsidR="00DB4F4A">
        <w:rPr>
          <w:lang w:val="en-GB" w:eastAsia="zh-CN"/>
        </w:rPr>
        <w:t>X</w:t>
      </w:r>
      <w:r w:rsidR="004C720C">
        <w:rPr>
          <w:lang w:val="en-GB" w:eastAsia="zh-CN"/>
        </w:rPr>
        <w:t xml:space="preserve"> inband RBs</w:t>
      </w:r>
      <w:r w:rsidR="00473544">
        <w:rPr>
          <w:lang w:val="en-GB" w:eastAsia="zh-CN"/>
        </w:rPr>
        <w:t xml:space="preserve"> with 2 excess RBs</w:t>
      </w:r>
      <w:r w:rsidR="00787948">
        <w:rPr>
          <w:lang w:val="en-GB" w:eastAsia="zh-CN"/>
        </w:rPr>
        <w:t xml:space="preserve">, for a total of </w:t>
      </w:r>
      <w:r w:rsidR="00DB4F4A">
        <w:rPr>
          <w:lang w:val="en-GB" w:eastAsia="zh-CN"/>
        </w:rPr>
        <w:t>X+2</w:t>
      </w:r>
      <w:r w:rsidR="00787948">
        <w:rPr>
          <w:lang w:val="en-GB" w:eastAsia="zh-CN"/>
        </w:rPr>
        <w:t xml:space="preserve"> RBs. </w:t>
      </w:r>
      <w:r w:rsidR="002F2078">
        <w:rPr>
          <w:lang w:val="en-GB" w:eastAsia="zh-CN"/>
        </w:rPr>
        <w:t>If extension factors are indicated, then only certain RB allocation</w:t>
      </w:r>
      <w:r w:rsidR="00F312FA">
        <w:rPr>
          <w:lang w:val="en-GB" w:eastAsia="zh-CN"/>
        </w:rPr>
        <w:t>s</w:t>
      </w:r>
      <w:r w:rsidR="002F2078">
        <w:rPr>
          <w:lang w:val="en-GB" w:eastAsia="zh-CN"/>
        </w:rPr>
        <w:t xml:space="preserve"> can be configured with FDSS+BWE. For example, if </w:t>
      </w:r>
      <w:r w:rsidR="004A71AE">
        <w:rPr>
          <w:lang w:val="en-GB" w:eastAsia="zh-CN"/>
        </w:rPr>
        <w:t>extension factor of ¼ is agreed, then the gNB can provide a PUSCH grant with</w:t>
      </w:r>
      <w:r w:rsidR="00D3539F">
        <w:rPr>
          <w:lang w:val="en-GB" w:eastAsia="zh-CN"/>
        </w:rPr>
        <w:t xml:space="preserve"> a total of</w:t>
      </w:r>
      <w:r w:rsidR="004A71AE">
        <w:rPr>
          <w:lang w:val="en-GB" w:eastAsia="zh-CN"/>
        </w:rPr>
        <w:t xml:space="preserve"> </w:t>
      </w:r>
      <w:r w:rsidR="00D3539F">
        <w:rPr>
          <w:lang w:val="en-GB" w:eastAsia="zh-CN"/>
        </w:rPr>
        <w:t>8 RBs (</w:t>
      </w:r>
      <w:r w:rsidR="005257A7">
        <w:rPr>
          <w:lang w:val="en-GB" w:eastAsia="zh-CN"/>
        </w:rPr>
        <w:t>6 inband RBs, 2 excess RBS)</w:t>
      </w:r>
      <w:r w:rsidR="00D3539F">
        <w:rPr>
          <w:lang w:val="en-GB" w:eastAsia="zh-CN"/>
        </w:rPr>
        <w:t>, but the gNB can</w:t>
      </w:r>
      <w:r w:rsidR="005257A7">
        <w:rPr>
          <w:lang w:val="en-GB" w:eastAsia="zh-CN"/>
        </w:rPr>
        <w:t>’</w:t>
      </w:r>
      <w:r w:rsidR="00D3539F">
        <w:rPr>
          <w:lang w:val="en-GB" w:eastAsia="zh-CN"/>
        </w:rPr>
        <w:t>t provide a PUSCH</w:t>
      </w:r>
      <w:r w:rsidR="00B6791C">
        <w:rPr>
          <w:lang w:val="en-GB" w:eastAsia="zh-CN"/>
        </w:rPr>
        <w:t xml:space="preserve"> grant </w:t>
      </w:r>
      <w:r w:rsidR="00D3539F">
        <w:rPr>
          <w:lang w:val="en-GB" w:eastAsia="zh-CN"/>
        </w:rPr>
        <w:t xml:space="preserve">with </w:t>
      </w:r>
      <w:r w:rsidR="00B6791C">
        <w:rPr>
          <w:lang w:val="en-GB" w:eastAsia="zh-CN"/>
        </w:rPr>
        <w:t xml:space="preserve">10 RBs as it doesn’t result in integer number of </w:t>
      </w:r>
      <w:r w:rsidR="005D0584">
        <w:rPr>
          <w:lang w:val="en-GB" w:eastAsia="zh-CN"/>
        </w:rPr>
        <w:t>excess RBs.</w:t>
      </w:r>
    </w:p>
    <w:p w14:paraId="20C78B4B" w14:textId="6BDE57E0" w:rsidR="00CC2D6E" w:rsidRDefault="001C36A7" w:rsidP="000076EC">
      <w:pPr>
        <w:jc w:val="both"/>
        <w:rPr>
          <w:lang w:val="en-GB" w:eastAsia="zh-CN"/>
        </w:rPr>
      </w:pPr>
      <w:r>
        <w:rPr>
          <w:lang w:val="en-GB" w:eastAsia="zh-CN"/>
        </w:rPr>
        <w:t>The complexities of optimizing and storing all these different filter coefficients</w:t>
      </w:r>
      <w:r w:rsidR="00CC2D6E">
        <w:rPr>
          <w:lang w:val="en-GB" w:eastAsia="zh-CN"/>
        </w:rPr>
        <w:t xml:space="preserve"> in frequency domain</w:t>
      </w:r>
      <w:r>
        <w:rPr>
          <w:lang w:val="en-GB" w:eastAsia="zh-CN"/>
        </w:rPr>
        <w:t xml:space="preserve"> needs to</w:t>
      </w:r>
      <w:r w:rsidR="00E213FA">
        <w:rPr>
          <w:lang w:val="en-GB" w:eastAsia="zh-CN"/>
        </w:rPr>
        <w:t xml:space="preserve"> be</w:t>
      </w:r>
      <w:r w:rsidR="00CC2D6E">
        <w:rPr>
          <w:lang w:val="en-GB" w:eastAsia="zh-CN"/>
        </w:rPr>
        <w:t xml:space="preserve"> taken into account when considerin</w:t>
      </w:r>
      <w:r w:rsidR="004E5E2E">
        <w:rPr>
          <w:lang w:val="en-GB" w:eastAsia="zh-CN"/>
        </w:rPr>
        <w:t>g</w:t>
      </w:r>
      <w:r w:rsidR="00CC2D6E">
        <w:rPr>
          <w:lang w:val="en-GB" w:eastAsia="zh-CN"/>
        </w:rPr>
        <w:t xml:space="preserve"> the above proposals.</w:t>
      </w:r>
    </w:p>
    <w:p w14:paraId="3C3405BB" w14:textId="597E0974" w:rsidR="0004003D" w:rsidRDefault="001C36A7" w:rsidP="00F42522">
      <w:pPr>
        <w:rPr>
          <w:lang w:val="en-GB" w:eastAsia="zh-CN"/>
        </w:rPr>
      </w:pPr>
      <w:r>
        <w:rPr>
          <w:lang w:val="en-GB" w:eastAsia="zh-CN"/>
        </w:rPr>
        <w:t xml:space="preserve"> </w:t>
      </w:r>
    </w:p>
    <w:p w14:paraId="7B263D5C" w14:textId="60FA3D2C" w:rsidR="001F254B" w:rsidRDefault="00B72306" w:rsidP="00012A23">
      <w:pPr>
        <w:pStyle w:val="Heading1"/>
        <w:rPr>
          <w:lang w:eastAsia="zh-CN"/>
        </w:rPr>
      </w:pPr>
      <w:r>
        <w:t>Enhancements to Realize High Power Transmission in CA and DC</w:t>
      </w:r>
      <w:bookmarkEnd w:id="31"/>
    </w:p>
    <w:p w14:paraId="3508D057" w14:textId="2DCCF3C0" w:rsidR="00E07EC2" w:rsidRDefault="00A811E9">
      <w:pPr>
        <w:pStyle w:val="Heading2"/>
        <w:rPr>
          <w:lang w:eastAsia="zh-CN"/>
        </w:rPr>
      </w:pPr>
      <w:r>
        <w:rPr>
          <w:lang w:eastAsia="zh-CN"/>
        </w:rPr>
        <w:t>Introduction</w:t>
      </w:r>
    </w:p>
    <w:p w14:paraId="37E92F24" w14:textId="77777777" w:rsidR="00D912EE" w:rsidRPr="00D912EE" w:rsidRDefault="00D912EE" w:rsidP="00D912EE">
      <w:pPr>
        <w:jc w:val="both"/>
        <w:rPr>
          <w:color w:val="000000" w:themeColor="text1"/>
          <w:lang w:val="en-GB" w:eastAsia="zh-CN"/>
        </w:rPr>
      </w:pPr>
      <w:r w:rsidRPr="00D912EE">
        <w:rPr>
          <w:color w:val="000000" w:themeColor="text1"/>
          <w:lang w:val="en-GB" w:eastAsia="zh-CN"/>
        </w:rPr>
        <w:t xml:space="preserve">The overarching goal of R18 WID on coverage enhancements is to place scenarios with increased uplink transmit power in CA/DC on a more solid footing by providing additional signalling support to better facilitate a common understanding between UE and gNB. For example, how a gNB selects the band combination to configure for UL-CA </w:t>
      </w:r>
      <w:r w:rsidRPr="00D912EE">
        <w:rPr>
          <w:color w:val="000000" w:themeColor="text1"/>
          <w:lang w:val="en-GB" w:eastAsia="zh-CN"/>
        </w:rPr>
        <w:lastRenderedPageBreak/>
        <w:t xml:space="preserve">or when to switch a user from a single carrier configuration to UL-CA, how a gNB services a UE’s uplink traffic by adaptive load sharing across multiple carriers are all operations of interest. </w:t>
      </w:r>
    </w:p>
    <w:p w14:paraId="07C256CB" w14:textId="77777777" w:rsidR="00D912EE" w:rsidRPr="00D912EE" w:rsidRDefault="00D912EE" w:rsidP="00D912EE">
      <w:pPr>
        <w:jc w:val="both"/>
        <w:rPr>
          <w:color w:val="000000" w:themeColor="text1"/>
          <w:lang w:val="en-GB" w:eastAsia="zh-CN"/>
        </w:rPr>
      </w:pPr>
      <w:r w:rsidRPr="00D912EE">
        <w:rPr>
          <w:color w:val="000000" w:themeColor="text1"/>
          <w:lang w:val="en-GB" w:eastAsia="zh-CN"/>
        </w:rPr>
        <w:t xml:space="preserve">An important component of enabling simultaneous transmissions across multiple bands is a good understanding of the regulatory constraints that the UE is required to conform to when engaging in uplink transmissions. Regulatory constraints on total RF exposure experienced by a user require a UE to determine safe transmit power levels for each band of operation. When a UE is close to exceeding the allowed RF exposure levels, the UE recomputes the maximum allowed transmit power for each of the bands in use and uplink transmissions may see a change in transmit power (Alternately, a UE may have a fixed limit on its transmit power so that it never exceeds the RF exposure limits.). Since these operations are transparent to the gNB, this can then impact a gNB’s perception of link quality, influence link adaptation, and subsequently cause uplink throughput to fluctuate.  A better understanding of these constraints and its impact on UE behaviour can help gNBs adopt more nuanced scheduling decisions. </w:t>
      </w:r>
    </w:p>
    <w:p w14:paraId="2AAFDE20" w14:textId="6A53C0DF" w:rsidR="00D912EE" w:rsidRPr="00D912EE" w:rsidRDefault="00D912EE" w:rsidP="00D912EE">
      <w:pPr>
        <w:pStyle w:val="Heading3"/>
        <w:rPr>
          <w:lang w:eastAsia="zh-CN"/>
        </w:rPr>
      </w:pPr>
      <w:r>
        <w:rPr>
          <w:lang w:eastAsia="zh-CN"/>
        </w:rPr>
        <w:t>Prior Agreements</w:t>
      </w:r>
    </w:p>
    <w:p w14:paraId="03C1A44B" w14:textId="69E9A003" w:rsidR="00A811E9" w:rsidRDefault="00A811E9" w:rsidP="00A811E9">
      <w:pPr>
        <w:rPr>
          <w:lang w:val="en-GB" w:eastAsia="zh-CN"/>
        </w:rPr>
      </w:pPr>
      <w:r>
        <w:rPr>
          <w:lang w:val="en-GB" w:eastAsia="zh-CN"/>
        </w:rPr>
        <w:t>In RAN1</w:t>
      </w:r>
      <w:r w:rsidR="004A1663">
        <w:rPr>
          <w:lang w:val="en-GB" w:eastAsia="zh-CN"/>
        </w:rPr>
        <w:t>-110bis</w:t>
      </w:r>
      <w:r>
        <w:rPr>
          <w:lang w:val="en-GB" w:eastAsia="zh-CN"/>
        </w:rPr>
        <w:t xml:space="preserve"> meeting,</w:t>
      </w:r>
      <w:r w:rsidR="0069263D">
        <w:rPr>
          <w:lang w:val="en-GB" w:eastAsia="zh-CN"/>
        </w:rPr>
        <w:t xml:space="preserve"> it was discussed whether any information exchange between UE and gNB </w:t>
      </w:r>
      <w:r w:rsidR="00D11053">
        <w:rPr>
          <w:lang w:val="en-GB" w:eastAsia="zh-CN"/>
        </w:rPr>
        <w:t>can help facilitate high power transmissions in CA and DC. The following agreement was made in this regard</w:t>
      </w:r>
      <w:r w:rsidR="00FC6F26">
        <w:rPr>
          <w:lang w:val="en-GB" w:eastAsia="zh-CN"/>
        </w:rPr>
        <w:t>:</w:t>
      </w:r>
    </w:p>
    <w:tbl>
      <w:tblPr>
        <w:tblStyle w:val="TableGrid"/>
        <w:tblW w:w="0" w:type="auto"/>
        <w:tblLook w:val="04A0" w:firstRow="1" w:lastRow="0" w:firstColumn="1" w:lastColumn="0" w:noHBand="0" w:noVBand="1"/>
      </w:tblPr>
      <w:tblGrid>
        <w:gridCol w:w="9350"/>
      </w:tblGrid>
      <w:tr w:rsidR="00FC6F26" w14:paraId="013AEDF6" w14:textId="77777777" w:rsidTr="00FC6F26">
        <w:tc>
          <w:tcPr>
            <w:tcW w:w="9350" w:type="dxa"/>
          </w:tcPr>
          <w:p w14:paraId="0344AAF8" w14:textId="77777777" w:rsidR="00FC6F26" w:rsidRPr="00FC6F26" w:rsidRDefault="00FC6F26" w:rsidP="00FC6F26">
            <w:pPr>
              <w:rPr>
                <w:lang w:val="en-US" w:eastAsia="zh-CN"/>
              </w:rPr>
            </w:pPr>
            <w:r w:rsidRPr="00321F1A">
              <w:rPr>
                <w:highlight w:val="green"/>
                <w:lang w:eastAsia="zh-CN"/>
              </w:rPr>
              <w:t>Agreement</w:t>
            </w:r>
          </w:p>
          <w:p w14:paraId="7C5F8EB5" w14:textId="77777777" w:rsidR="00FC6F26" w:rsidRPr="00FC6F26" w:rsidRDefault="00FC6F26" w:rsidP="00FC6F26">
            <w:pPr>
              <w:rPr>
                <w:lang w:val="en-US" w:eastAsia="zh-CN"/>
              </w:rPr>
            </w:pPr>
            <w:r w:rsidRPr="00FC6F26">
              <w:rPr>
                <w:lang w:eastAsia="zh-CN"/>
              </w:rPr>
              <w:t>For enhancements to realize increasing UE power high limit for CA and DC, RAN1 can study based on RAN4’s input</w:t>
            </w:r>
          </w:p>
          <w:p w14:paraId="78F2B2CF" w14:textId="77777777" w:rsidR="00FC6F26" w:rsidRPr="00FC6F26" w:rsidRDefault="00FC6F26" w:rsidP="00FC6F26">
            <w:pPr>
              <w:rPr>
                <w:lang w:val="en-US" w:eastAsia="zh-CN"/>
              </w:rPr>
            </w:pPr>
            <w:r w:rsidRPr="00FC6F26">
              <w:rPr>
                <w:lang w:eastAsia="zh-CN"/>
              </w:rPr>
              <w:t>Whether RAN1 enhancements to information exchange between UE and gNB are needed to improve scheduling and network performance when using higher power CA/DC.</w:t>
            </w:r>
          </w:p>
          <w:p w14:paraId="529A36F3" w14:textId="7DF89A58" w:rsidR="00FC6F26" w:rsidRDefault="00FC6F26" w:rsidP="003656E5">
            <w:pPr>
              <w:rPr>
                <w:lang w:eastAsia="zh-CN"/>
              </w:rPr>
            </w:pPr>
            <w:r w:rsidRPr="00FC6F26">
              <w:rPr>
                <w:lang w:eastAsia="zh-CN"/>
              </w:rPr>
              <w:t>FFS how to realize such information exchange, e.g., signalling enhancement, and what is the spec impact.</w:t>
            </w:r>
          </w:p>
        </w:tc>
      </w:tr>
    </w:tbl>
    <w:p w14:paraId="729C352F" w14:textId="77777777" w:rsidR="005E3026" w:rsidRDefault="005E3026" w:rsidP="00A811E9">
      <w:pPr>
        <w:rPr>
          <w:lang w:val="en-GB" w:eastAsia="zh-CN"/>
        </w:rPr>
      </w:pPr>
    </w:p>
    <w:p w14:paraId="02B49F85" w14:textId="39545060" w:rsidR="004A1663" w:rsidRDefault="004A1663" w:rsidP="00A811E9">
      <w:pPr>
        <w:rPr>
          <w:lang w:val="en-GB" w:eastAsia="zh-CN"/>
        </w:rPr>
      </w:pPr>
      <w:r>
        <w:rPr>
          <w:lang w:val="en-GB" w:eastAsia="zh-CN"/>
        </w:rPr>
        <w:t xml:space="preserve">In the subsequent meeting, in RAN1-111, the above agreement was further refined to identify three potential enhancements that might be </w:t>
      </w:r>
      <w:r w:rsidR="00573165">
        <w:rPr>
          <w:lang w:val="en-GB" w:eastAsia="zh-CN"/>
        </w:rPr>
        <w:t>worth studying:</w:t>
      </w:r>
    </w:p>
    <w:tbl>
      <w:tblPr>
        <w:tblStyle w:val="TableGrid"/>
        <w:tblW w:w="0" w:type="auto"/>
        <w:tblLook w:val="04A0" w:firstRow="1" w:lastRow="0" w:firstColumn="1" w:lastColumn="0" w:noHBand="0" w:noVBand="1"/>
      </w:tblPr>
      <w:tblGrid>
        <w:gridCol w:w="9350"/>
      </w:tblGrid>
      <w:tr w:rsidR="004A1663" w14:paraId="578C83F8" w14:textId="77777777" w:rsidTr="004A1663">
        <w:tc>
          <w:tcPr>
            <w:tcW w:w="9350" w:type="dxa"/>
          </w:tcPr>
          <w:p w14:paraId="7A1E3AB6" w14:textId="77777777" w:rsidR="004A1663" w:rsidRPr="004A1663" w:rsidRDefault="004A1663" w:rsidP="004A1663">
            <w:pPr>
              <w:rPr>
                <w:lang w:val="en-US" w:eastAsia="zh-CN"/>
              </w:rPr>
            </w:pPr>
            <w:r w:rsidRPr="00321F1A">
              <w:rPr>
                <w:highlight w:val="green"/>
                <w:lang w:eastAsia="zh-CN"/>
              </w:rPr>
              <w:t>Agreement</w:t>
            </w:r>
          </w:p>
          <w:p w14:paraId="74BF4C41" w14:textId="77777777" w:rsidR="004A1663" w:rsidRPr="004A1663" w:rsidRDefault="004A1663" w:rsidP="004D36C0">
            <w:pPr>
              <w:numPr>
                <w:ilvl w:val="0"/>
                <w:numId w:val="34"/>
              </w:numPr>
              <w:rPr>
                <w:lang w:val="en-US" w:eastAsia="zh-CN"/>
              </w:rPr>
            </w:pPr>
            <w:r w:rsidRPr="004A1663">
              <w:rPr>
                <w:lang w:val="en-US" w:eastAsia="zh-CN"/>
              </w:rPr>
              <w:t xml:space="preserve">At least the following enhancements to information exchange between UE and gNB to facilitate higher power transmissions in CA and DC can be considered for study. Enhanced signaling, if necessary and subject to RAN4’s input, to allow: </w:t>
            </w:r>
          </w:p>
          <w:p w14:paraId="69DD486E" w14:textId="77777777" w:rsidR="004A1663" w:rsidRPr="004A1663" w:rsidRDefault="004A1663" w:rsidP="004D36C0">
            <w:pPr>
              <w:numPr>
                <w:ilvl w:val="0"/>
                <w:numId w:val="34"/>
              </w:numPr>
              <w:rPr>
                <w:lang w:val="en-US" w:eastAsia="zh-CN"/>
              </w:rPr>
            </w:pPr>
            <w:r w:rsidRPr="004A1663">
              <w:rPr>
                <w:lang w:val="en-US" w:eastAsia="zh-CN"/>
              </w:rPr>
              <w:t xml:space="preserve">Determination at gNB of </w:t>
            </w:r>
            <w:r w:rsidRPr="00321F1A">
              <w:rPr>
                <w:lang w:eastAsia="zh-CN"/>
              </w:rPr>
              <w:t xml:space="preserve">power class change </w:t>
            </w:r>
            <w:r w:rsidRPr="004A1663">
              <w:rPr>
                <w:lang w:val="en-US" w:eastAsia="zh-CN"/>
              </w:rPr>
              <w:t>at the UE</w:t>
            </w:r>
          </w:p>
          <w:p w14:paraId="693096AD" w14:textId="77777777" w:rsidR="004A1663" w:rsidRPr="004A1663" w:rsidRDefault="004A1663" w:rsidP="004D36C0">
            <w:pPr>
              <w:numPr>
                <w:ilvl w:val="0"/>
                <w:numId w:val="34"/>
              </w:numPr>
              <w:rPr>
                <w:lang w:val="en-US" w:eastAsia="zh-CN"/>
              </w:rPr>
            </w:pPr>
            <w:r w:rsidRPr="004A1663">
              <w:rPr>
                <w:lang w:val="en-US" w:eastAsia="zh-CN"/>
              </w:rPr>
              <w:t>Increased awareness at gNB of energy/power availability at the UE, e.g., a budget.</w:t>
            </w:r>
          </w:p>
          <w:p w14:paraId="08114836" w14:textId="77777777" w:rsidR="004A1663" w:rsidRPr="004A1663" w:rsidRDefault="004A1663" w:rsidP="004D36C0">
            <w:pPr>
              <w:numPr>
                <w:ilvl w:val="1"/>
                <w:numId w:val="34"/>
              </w:numPr>
              <w:rPr>
                <w:lang w:val="en-US" w:eastAsia="zh-CN"/>
              </w:rPr>
            </w:pPr>
            <w:r w:rsidRPr="004A1663">
              <w:rPr>
                <w:lang w:val="en-US" w:eastAsia="zh-CN"/>
              </w:rPr>
              <w:t>More informative PHR to be sent from UE to gNB, which may include, e.g., P-MPR related information, power headroom for carrier configured for DL but not UL, power class change indication.</w:t>
            </w:r>
          </w:p>
          <w:p w14:paraId="1A0BFF89" w14:textId="77777777" w:rsidR="004A1663" w:rsidRPr="004A1663" w:rsidRDefault="004A1663" w:rsidP="004D36C0">
            <w:pPr>
              <w:numPr>
                <w:ilvl w:val="0"/>
                <w:numId w:val="34"/>
              </w:numPr>
              <w:rPr>
                <w:lang w:val="en-US" w:eastAsia="zh-CN"/>
              </w:rPr>
            </w:pPr>
            <w:r w:rsidRPr="004A1663">
              <w:rPr>
                <w:lang w:val="en-US" w:eastAsia="zh-CN"/>
              </w:rPr>
              <w:t xml:space="preserve">More effective scheduling decisions in the context of UL CA, e.g., best band combination, preferred carrier for servicing uplink, adaptive load sharing across sharing, </w:t>
            </w:r>
          </w:p>
          <w:p w14:paraId="5956DBEC" w14:textId="77777777" w:rsidR="004A1663" w:rsidRPr="004A1663" w:rsidRDefault="004A1663" w:rsidP="004D36C0">
            <w:pPr>
              <w:numPr>
                <w:ilvl w:val="0"/>
                <w:numId w:val="34"/>
              </w:numPr>
              <w:rPr>
                <w:lang w:val="en-US" w:eastAsia="zh-CN"/>
              </w:rPr>
            </w:pPr>
            <w:r w:rsidRPr="004A1663">
              <w:rPr>
                <w:lang w:val="en-US" w:eastAsia="zh-CN"/>
              </w:rPr>
              <w:t>Other options are not precluded.</w:t>
            </w:r>
          </w:p>
          <w:p w14:paraId="3B4B6C74" w14:textId="77777777" w:rsidR="004A1663" w:rsidRDefault="004A1663">
            <w:pPr>
              <w:rPr>
                <w:lang w:eastAsia="zh-CN"/>
              </w:rPr>
            </w:pPr>
          </w:p>
        </w:tc>
      </w:tr>
    </w:tbl>
    <w:p w14:paraId="38C9C465" w14:textId="16142DA9" w:rsidR="004A1663" w:rsidRDefault="004A1663" w:rsidP="00321F1A">
      <w:pPr>
        <w:rPr>
          <w:lang w:eastAsia="zh-CN"/>
        </w:rPr>
      </w:pPr>
    </w:p>
    <w:p w14:paraId="1F287C45" w14:textId="27C6C7CE" w:rsidR="001506C3" w:rsidRDefault="001506C3" w:rsidP="00321F1A">
      <w:pPr>
        <w:rPr>
          <w:lang w:eastAsia="zh-CN"/>
        </w:rPr>
      </w:pPr>
      <w:r>
        <w:rPr>
          <w:lang w:eastAsia="zh-CN"/>
        </w:rPr>
        <w:t xml:space="preserve">In RAN1-112, </w:t>
      </w:r>
      <w:r w:rsidR="001B3E39">
        <w:rPr>
          <w:lang w:eastAsia="zh-CN"/>
        </w:rPr>
        <w:t>we agreed to further study potential PHR enhancements that may be of interest:</w:t>
      </w:r>
    </w:p>
    <w:tbl>
      <w:tblPr>
        <w:tblStyle w:val="TableGrid"/>
        <w:tblW w:w="0" w:type="auto"/>
        <w:tblLook w:val="04A0" w:firstRow="1" w:lastRow="0" w:firstColumn="1" w:lastColumn="0" w:noHBand="0" w:noVBand="1"/>
      </w:tblPr>
      <w:tblGrid>
        <w:gridCol w:w="9350"/>
      </w:tblGrid>
      <w:tr w:rsidR="001B3E39" w14:paraId="0976BD11" w14:textId="77777777" w:rsidTr="001B3E39">
        <w:tc>
          <w:tcPr>
            <w:tcW w:w="9350" w:type="dxa"/>
          </w:tcPr>
          <w:p w14:paraId="3AC2F1C0" w14:textId="77777777" w:rsidR="00936124" w:rsidRPr="00936124" w:rsidRDefault="00936124" w:rsidP="00936124">
            <w:pPr>
              <w:rPr>
                <w:lang w:val="en-US" w:eastAsia="zh-CN"/>
              </w:rPr>
            </w:pPr>
            <w:r w:rsidRPr="00936124">
              <w:rPr>
                <w:b/>
                <w:bCs/>
                <w:highlight w:val="green"/>
                <w:lang w:val="en-US" w:eastAsia="zh-CN"/>
              </w:rPr>
              <w:t>Agreement</w:t>
            </w:r>
          </w:p>
          <w:p w14:paraId="63C11EF3" w14:textId="77777777" w:rsidR="00936124" w:rsidRPr="00936124" w:rsidRDefault="00936124" w:rsidP="00936124">
            <w:pPr>
              <w:rPr>
                <w:lang w:val="en-US" w:eastAsia="zh-CN"/>
              </w:rPr>
            </w:pPr>
            <w:r w:rsidRPr="00936124">
              <w:rPr>
                <w:lang w:val="en-US" w:eastAsia="zh-CN"/>
              </w:rPr>
              <w:t xml:space="preserve">Further discussions in RAN1 concerning means to facilitate higher power transmissions in CA and DC, if applicable, can target increasing gNB awareness of UE’s Tx power, e.g., PHR reporting enhancement such as current power class, power class change, or application of P-MPR by UE (subject to RAN4’s input). </w:t>
            </w:r>
          </w:p>
          <w:p w14:paraId="787A5E0B" w14:textId="49554C9E" w:rsidR="001B3E39" w:rsidRDefault="00936124" w:rsidP="004D36C0">
            <w:pPr>
              <w:numPr>
                <w:ilvl w:val="1"/>
                <w:numId w:val="48"/>
              </w:numPr>
              <w:rPr>
                <w:lang w:eastAsia="zh-CN"/>
              </w:rPr>
            </w:pPr>
            <w:r w:rsidRPr="00936124">
              <w:rPr>
                <w:lang w:val="en-US" w:eastAsia="zh-CN"/>
              </w:rPr>
              <w:t>FFS: details.</w:t>
            </w:r>
          </w:p>
        </w:tc>
      </w:tr>
    </w:tbl>
    <w:p w14:paraId="0FEBFDFC" w14:textId="77777777" w:rsidR="001B3E39" w:rsidRPr="003D5BCF" w:rsidRDefault="001B3E39" w:rsidP="00321F1A">
      <w:pPr>
        <w:rPr>
          <w:lang w:eastAsia="zh-CN"/>
        </w:rPr>
      </w:pPr>
    </w:p>
    <w:p w14:paraId="44DF6515" w14:textId="15CF6239" w:rsidR="00573165" w:rsidRDefault="00573165" w:rsidP="00321F1A">
      <w:pPr>
        <w:jc w:val="both"/>
        <w:rPr>
          <w:lang w:val="en-GB" w:eastAsia="zh-CN"/>
        </w:rPr>
      </w:pPr>
      <w:r>
        <w:rPr>
          <w:lang w:val="en-GB" w:eastAsia="zh-CN"/>
        </w:rPr>
        <w:t xml:space="preserve">While we wait for further input from RAN4 on high power transmissions for CA and DC, in the following sections we first investigate the issue of power class change at the UE and then move on to motivate how additional signalling on energy/power availability between UE and gNB might be important to facilitate high power transmissions in CA and DC. </w:t>
      </w:r>
    </w:p>
    <w:p w14:paraId="58A3D1ED" w14:textId="5205CD95" w:rsidR="00AB7C7D" w:rsidRDefault="00AB7C7D" w:rsidP="009126C3">
      <w:pPr>
        <w:pStyle w:val="Heading3"/>
        <w:rPr>
          <w:lang w:eastAsia="zh-CN"/>
        </w:rPr>
      </w:pPr>
      <w:r>
        <w:rPr>
          <w:lang w:eastAsia="zh-CN"/>
        </w:rPr>
        <w:t>Outline of enhancements</w:t>
      </w:r>
    </w:p>
    <w:p w14:paraId="43ACB667" w14:textId="04AEE843" w:rsidR="00AB7C7D" w:rsidRDefault="00AB7C7D" w:rsidP="00371705">
      <w:pPr>
        <w:jc w:val="both"/>
        <w:rPr>
          <w:lang w:val="en-GB" w:eastAsia="zh-CN"/>
        </w:rPr>
      </w:pPr>
      <w:r>
        <w:rPr>
          <w:lang w:val="en-GB" w:eastAsia="zh-CN"/>
        </w:rPr>
        <w:t>We provide a brief over</w:t>
      </w:r>
      <w:r w:rsidR="004222F3">
        <w:rPr>
          <w:lang w:val="en-GB" w:eastAsia="zh-CN"/>
        </w:rPr>
        <w:t xml:space="preserve">view of the potential enhancements that could be of value to </w:t>
      </w:r>
      <w:r w:rsidR="002A43AC">
        <w:rPr>
          <w:lang w:val="en-GB" w:eastAsia="zh-CN"/>
        </w:rPr>
        <w:t>realize high power transmissions in CA/DC. The enhancements are broadly targeted at two mechanisms provided in the</w:t>
      </w:r>
      <w:r w:rsidR="004F3BDD">
        <w:rPr>
          <w:lang w:val="en-GB" w:eastAsia="zh-CN"/>
        </w:rPr>
        <w:t xml:space="preserve"> 5G NR</w:t>
      </w:r>
      <w:r w:rsidR="002A43AC">
        <w:rPr>
          <w:lang w:val="en-GB" w:eastAsia="zh-CN"/>
        </w:rPr>
        <w:t xml:space="preserve"> specification </w:t>
      </w:r>
      <w:r w:rsidR="004F3BDD">
        <w:rPr>
          <w:lang w:val="en-GB" w:eastAsia="zh-CN"/>
        </w:rPr>
        <w:t xml:space="preserve">for a UE to autonomously reduce its maximum transmit power in order to </w:t>
      </w:r>
      <w:r w:rsidR="00191018">
        <w:rPr>
          <w:lang w:val="en-GB" w:eastAsia="zh-CN"/>
        </w:rPr>
        <w:t xml:space="preserve">address issues arising from RF exposure or other sources. The two mechanisms </w:t>
      </w:r>
      <w:r w:rsidR="00293FEE">
        <w:rPr>
          <w:lang w:val="en-GB" w:eastAsia="zh-CN"/>
        </w:rPr>
        <w:t>are</w:t>
      </w:r>
      <w:r w:rsidR="00191018">
        <w:rPr>
          <w:lang w:val="en-GB" w:eastAsia="zh-CN"/>
        </w:rPr>
        <w:t xml:space="preserve"> power class fallback and P-MPR </w:t>
      </w:r>
      <w:r w:rsidR="009F5B58">
        <w:rPr>
          <w:lang w:val="en-GB" w:eastAsia="zh-CN"/>
        </w:rPr>
        <w:t>allowance</w:t>
      </w:r>
      <w:r w:rsidR="00D96D8D">
        <w:rPr>
          <w:lang w:val="en-GB" w:eastAsia="zh-CN"/>
        </w:rPr>
        <w:t xml:space="preserve"> </w:t>
      </w:r>
      <w:r w:rsidR="00293FEE">
        <w:rPr>
          <w:lang w:val="en-GB" w:eastAsia="zh-CN"/>
        </w:rPr>
        <w:t xml:space="preserve">and </w:t>
      </w:r>
      <w:r w:rsidR="00884AA8">
        <w:rPr>
          <w:lang w:val="en-GB" w:eastAsia="zh-CN"/>
        </w:rPr>
        <w:t xml:space="preserve">a UE is free to seek relief from RF exposure or other issues using either mechanism. </w:t>
      </w:r>
      <w:r w:rsidR="00F65D6B">
        <w:rPr>
          <w:lang w:val="en-GB" w:eastAsia="zh-CN"/>
        </w:rPr>
        <w:t xml:space="preserve">To ensure that the gNBs understand these operations at the UE, it is </w:t>
      </w:r>
      <w:r w:rsidR="002B4D51">
        <w:rPr>
          <w:lang w:val="en-GB" w:eastAsia="zh-CN"/>
        </w:rPr>
        <w:t>suggested that some visibility into these decisions at the UE be conveyed to the gNB via the PHR framework.</w:t>
      </w:r>
    </w:p>
    <w:p w14:paraId="451104D7" w14:textId="44C5528A" w:rsidR="009F0B4F" w:rsidRPr="00AB7C7D" w:rsidRDefault="009F0B4F" w:rsidP="00371705">
      <w:pPr>
        <w:jc w:val="both"/>
        <w:rPr>
          <w:lang w:val="en-GB" w:eastAsia="zh-CN"/>
        </w:rPr>
      </w:pPr>
      <w:r>
        <w:rPr>
          <w:lang w:val="en-GB" w:eastAsia="zh-CN"/>
        </w:rPr>
        <w:t xml:space="preserve">In the following figure we </w:t>
      </w:r>
      <w:r w:rsidR="00743F58">
        <w:rPr>
          <w:lang w:val="en-GB" w:eastAsia="zh-CN"/>
        </w:rPr>
        <w:t xml:space="preserve">break down the potential enhancements </w:t>
      </w:r>
      <w:r w:rsidR="00CB422C">
        <w:rPr>
          <w:lang w:val="en-GB" w:eastAsia="zh-CN"/>
        </w:rPr>
        <w:t xml:space="preserve">based on the mechanism they target. For power class fallback, </w:t>
      </w:r>
      <w:r w:rsidR="00A06BF3">
        <w:rPr>
          <w:lang w:val="en-GB" w:eastAsia="zh-CN"/>
        </w:rPr>
        <w:t xml:space="preserve">a fallback indicator, a new trigger condition for PHR and </w:t>
      </w:r>
      <w:r w:rsidR="00883708">
        <w:rPr>
          <w:lang w:val="en-GB" w:eastAsia="zh-CN"/>
        </w:rPr>
        <w:t xml:space="preserve">some information on the duty cycle evaluation period may be of interest. For P-MPR allowance, reporting P-MPR similar to </w:t>
      </w:r>
      <w:r w:rsidR="00707A84">
        <w:rPr>
          <w:lang w:val="en-GB" w:eastAsia="zh-CN"/>
        </w:rPr>
        <w:t xml:space="preserve">what is done for FR2 carriers and </w:t>
      </w:r>
      <w:r w:rsidR="006D471B">
        <w:rPr>
          <w:lang w:val="en-GB" w:eastAsia="zh-CN"/>
        </w:rPr>
        <w:t xml:space="preserve">providing </w:t>
      </w:r>
      <w:r w:rsidR="00E82BBA">
        <w:rPr>
          <w:lang w:val="en-GB" w:eastAsia="zh-CN"/>
        </w:rPr>
        <w:t>a</w:t>
      </w:r>
      <w:r w:rsidR="006D471B">
        <w:rPr>
          <w:lang w:val="en-GB" w:eastAsia="zh-CN"/>
        </w:rPr>
        <w:t xml:space="preserve"> forecast on the power levels the UE is able to sustain </w:t>
      </w:r>
      <w:r w:rsidR="004F5730">
        <w:rPr>
          <w:lang w:val="en-GB" w:eastAsia="zh-CN"/>
        </w:rPr>
        <w:t>could be of interest.</w:t>
      </w:r>
      <w:r w:rsidR="00E82BBA">
        <w:rPr>
          <w:lang w:val="en-GB" w:eastAsia="zh-CN"/>
        </w:rPr>
        <w:t xml:space="preserve"> One may view the </w:t>
      </w:r>
      <w:r w:rsidR="005546EE">
        <w:rPr>
          <w:lang w:val="en-GB" w:eastAsia="zh-CN"/>
        </w:rPr>
        <w:t>t</w:t>
      </w:r>
      <w:r w:rsidR="00FA2A09">
        <w:rPr>
          <w:lang w:val="en-GB" w:eastAsia="zh-CN"/>
        </w:rPr>
        <w:t>ransmit</w:t>
      </w:r>
      <w:r w:rsidR="005546EE">
        <w:rPr>
          <w:lang w:val="en-GB" w:eastAsia="zh-CN"/>
        </w:rPr>
        <w:t xml:space="preserve"> power forecast as a simplified energy/power availability report.</w:t>
      </w:r>
    </w:p>
    <w:p w14:paraId="1300550B" w14:textId="1559CC11" w:rsidR="00F22714" w:rsidRPr="00F22714" w:rsidRDefault="00405843" w:rsidP="00F22714">
      <w:pPr>
        <w:keepNext/>
        <w:jc w:val="center"/>
        <w:rPr>
          <w:color w:val="000000" w:themeColor="text1"/>
        </w:rPr>
      </w:pPr>
      <w:r>
        <w:rPr>
          <w:noProof/>
          <w:color w:val="000000" w:themeColor="text1"/>
        </w:rPr>
        <w:drawing>
          <wp:inline distT="0" distB="0" distL="0" distR="0" wp14:anchorId="19872AF4" wp14:editId="31E5AEAE">
            <wp:extent cx="5930265" cy="246936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2846" b="13426"/>
                    <a:stretch/>
                  </pic:blipFill>
                  <pic:spPr bwMode="auto">
                    <a:xfrm>
                      <a:off x="0" y="0"/>
                      <a:ext cx="5957565" cy="2480737"/>
                    </a:xfrm>
                    <a:prstGeom prst="rect">
                      <a:avLst/>
                    </a:prstGeom>
                    <a:noFill/>
                    <a:ln>
                      <a:noFill/>
                    </a:ln>
                    <a:extLst>
                      <a:ext uri="{53640926-AAD7-44D8-BBD7-CCE9431645EC}">
                        <a14:shadowObscured xmlns:a14="http://schemas.microsoft.com/office/drawing/2010/main"/>
                      </a:ext>
                    </a:extLst>
                  </pic:spPr>
                </pic:pic>
              </a:graphicData>
            </a:graphic>
          </wp:inline>
        </w:drawing>
      </w:r>
    </w:p>
    <w:p w14:paraId="7821F47A" w14:textId="09C37843" w:rsidR="007021B4" w:rsidRPr="00F22714" w:rsidRDefault="00F22714" w:rsidP="00F22714">
      <w:pPr>
        <w:pStyle w:val="Caption"/>
        <w:jc w:val="center"/>
        <w:rPr>
          <w:i w:val="0"/>
          <w:iCs w:val="0"/>
          <w:color w:val="000000" w:themeColor="text1"/>
          <w:sz w:val="20"/>
          <w:szCs w:val="20"/>
          <w:lang w:eastAsia="zh-CN"/>
        </w:rPr>
      </w:pPr>
      <w:r w:rsidRPr="00F22714">
        <w:rPr>
          <w:i w:val="0"/>
          <w:iCs w:val="0"/>
          <w:color w:val="000000" w:themeColor="text1"/>
          <w:sz w:val="20"/>
          <w:szCs w:val="20"/>
        </w:rPr>
        <w:t xml:space="preserve">Figure </w:t>
      </w:r>
      <w:r w:rsidRPr="00F22714">
        <w:rPr>
          <w:i w:val="0"/>
          <w:iCs w:val="0"/>
          <w:color w:val="000000" w:themeColor="text1"/>
          <w:sz w:val="20"/>
          <w:szCs w:val="20"/>
        </w:rPr>
        <w:fldChar w:fldCharType="begin"/>
      </w:r>
      <w:r w:rsidRPr="00F22714">
        <w:rPr>
          <w:i w:val="0"/>
          <w:iCs w:val="0"/>
          <w:color w:val="000000" w:themeColor="text1"/>
          <w:sz w:val="20"/>
          <w:szCs w:val="20"/>
        </w:rPr>
        <w:instrText xml:space="preserve"> SEQ Figure \* ARABIC </w:instrText>
      </w:r>
      <w:r w:rsidRPr="00F22714">
        <w:rPr>
          <w:i w:val="0"/>
          <w:iCs w:val="0"/>
          <w:color w:val="000000" w:themeColor="text1"/>
          <w:sz w:val="20"/>
          <w:szCs w:val="20"/>
        </w:rPr>
        <w:fldChar w:fldCharType="separate"/>
      </w:r>
      <w:r w:rsidR="00EA7EC4">
        <w:rPr>
          <w:i w:val="0"/>
          <w:iCs w:val="0"/>
          <w:noProof/>
          <w:color w:val="000000" w:themeColor="text1"/>
          <w:sz w:val="20"/>
          <w:szCs w:val="20"/>
        </w:rPr>
        <w:t>25</w:t>
      </w:r>
      <w:r w:rsidRPr="00F22714">
        <w:rPr>
          <w:i w:val="0"/>
          <w:iCs w:val="0"/>
          <w:color w:val="000000" w:themeColor="text1"/>
          <w:sz w:val="20"/>
          <w:szCs w:val="20"/>
        </w:rPr>
        <w:fldChar w:fldCharType="end"/>
      </w:r>
      <w:r w:rsidRPr="00F22714">
        <w:rPr>
          <w:i w:val="0"/>
          <w:iCs w:val="0"/>
          <w:color w:val="000000" w:themeColor="text1"/>
          <w:sz w:val="20"/>
          <w:szCs w:val="20"/>
        </w:rPr>
        <w:t xml:space="preserve"> Potential enhancements for realizing high power CA/DC</w:t>
      </w:r>
    </w:p>
    <w:p w14:paraId="5F73AFCD" w14:textId="584756B1" w:rsidR="00E82BBA" w:rsidRDefault="00D521E5" w:rsidP="00E87B6C">
      <w:pPr>
        <w:jc w:val="both"/>
        <w:rPr>
          <w:lang w:eastAsia="zh-CN"/>
        </w:rPr>
      </w:pPr>
      <w:r>
        <w:rPr>
          <w:lang w:eastAsia="zh-CN"/>
        </w:rPr>
        <w:t xml:space="preserve">We suggest RAN1 discuss the value and practical impact of these enhancements </w:t>
      </w:r>
      <w:r w:rsidR="00F037F0">
        <w:rPr>
          <w:lang w:eastAsia="zh-CN"/>
        </w:rPr>
        <w:t xml:space="preserve">in the context of gNB operations such as carrier switching, uplink scheduling, BWP activation, </w:t>
      </w:r>
      <w:r w:rsidR="008460B1">
        <w:rPr>
          <w:lang w:eastAsia="zh-CN"/>
        </w:rPr>
        <w:t xml:space="preserve">etc., and then </w:t>
      </w:r>
      <w:r w:rsidR="0046501C">
        <w:rPr>
          <w:lang w:eastAsia="zh-CN"/>
        </w:rPr>
        <w:t xml:space="preserve">notify RAN4 </w:t>
      </w:r>
      <w:r w:rsidR="0003469F">
        <w:rPr>
          <w:lang w:eastAsia="zh-CN"/>
        </w:rPr>
        <w:t xml:space="preserve">to </w:t>
      </w:r>
      <w:r w:rsidR="00413325">
        <w:rPr>
          <w:lang w:eastAsia="zh-CN"/>
        </w:rPr>
        <w:t>investigate</w:t>
      </w:r>
      <w:r w:rsidR="0003469F">
        <w:rPr>
          <w:lang w:eastAsia="zh-CN"/>
        </w:rPr>
        <w:t xml:space="preserve"> the feasibility of reporting these quantities.</w:t>
      </w:r>
    </w:p>
    <w:tbl>
      <w:tblPr>
        <w:tblStyle w:val="TableGrid"/>
        <w:tblW w:w="0" w:type="auto"/>
        <w:tblLook w:val="04A0" w:firstRow="1" w:lastRow="0" w:firstColumn="1" w:lastColumn="0" w:noHBand="0" w:noVBand="1"/>
      </w:tblPr>
      <w:tblGrid>
        <w:gridCol w:w="9350"/>
      </w:tblGrid>
      <w:tr w:rsidR="00583527" w14:paraId="1F9BB518" w14:textId="77777777" w:rsidTr="00583527">
        <w:tc>
          <w:tcPr>
            <w:tcW w:w="9350" w:type="dxa"/>
          </w:tcPr>
          <w:p w14:paraId="1EE70446" w14:textId="25DBE230" w:rsidR="00583527" w:rsidRDefault="00583527" w:rsidP="00321F1A">
            <w:pPr>
              <w:rPr>
                <w:lang w:eastAsia="zh-CN"/>
              </w:rPr>
            </w:pPr>
            <w:r w:rsidRPr="00A17FD6">
              <w:rPr>
                <w:b/>
                <w:bCs/>
                <w:lang w:eastAsia="zh-CN"/>
              </w:rPr>
              <w:t>Proposal</w:t>
            </w:r>
            <w:r w:rsidR="00F47045">
              <w:rPr>
                <w:b/>
                <w:bCs/>
                <w:lang w:eastAsia="zh-CN"/>
              </w:rPr>
              <w:t xml:space="preserve"> </w:t>
            </w:r>
            <w:r w:rsidR="003E3CAD">
              <w:rPr>
                <w:b/>
                <w:bCs/>
                <w:lang w:eastAsia="zh-CN"/>
              </w:rPr>
              <w:t>10</w:t>
            </w:r>
            <w:r>
              <w:rPr>
                <w:lang w:eastAsia="zh-CN"/>
              </w:rPr>
              <w:t>: RAN1 to identify specific aspects of power-class fallback and P-MPR allowance that are useful to report from UE to gNB. RAN1 can send an LS to RAN4 indicating usefulness of these specific aspects and request RAN4 to investigate the feasibility of reporting these via the PHR framework.</w:t>
            </w:r>
          </w:p>
        </w:tc>
      </w:tr>
    </w:tbl>
    <w:p w14:paraId="5838783B" w14:textId="3CEAA5A0" w:rsidR="00583527" w:rsidRDefault="00583527" w:rsidP="00321F1A">
      <w:pPr>
        <w:rPr>
          <w:lang w:eastAsia="zh-CN"/>
        </w:rPr>
      </w:pPr>
    </w:p>
    <w:p w14:paraId="621212C9" w14:textId="35A4FFD5" w:rsidR="009B6F1D" w:rsidRDefault="00D12E21" w:rsidP="006E62FE">
      <w:pPr>
        <w:jc w:val="both"/>
        <w:rPr>
          <w:lang w:eastAsia="zh-CN"/>
        </w:rPr>
      </w:pPr>
      <w:r>
        <w:rPr>
          <w:lang w:eastAsia="zh-CN"/>
        </w:rPr>
        <w:t>As a</w:t>
      </w:r>
      <w:r w:rsidR="00970B1B">
        <w:rPr>
          <w:lang w:eastAsia="zh-CN"/>
        </w:rPr>
        <w:t>n alternative perspective on these enhancements</w:t>
      </w:r>
      <w:r>
        <w:rPr>
          <w:lang w:eastAsia="zh-CN"/>
        </w:rPr>
        <w:t xml:space="preserve">, one could classify the enhancements as either being reactive or proactive. Reactive or passive reporting </w:t>
      </w:r>
      <w:r w:rsidR="00C60DA0">
        <w:rPr>
          <w:lang w:eastAsia="zh-CN"/>
        </w:rPr>
        <w:t xml:space="preserve">is focuses on conveying the prevailing status at the UE transmitter to the network while proactive reporting </w:t>
      </w:r>
      <w:r w:rsidR="001A4BDE">
        <w:rPr>
          <w:lang w:eastAsia="zh-CN"/>
        </w:rPr>
        <w:t xml:space="preserve">focuses on conveying forecasts on power or energy availability. </w:t>
      </w:r>
      <w:r w:rsidR="006D2947">
        <w:rPr>
          <w:lang w:eastAsia="zh-CN"/>
        </w:rPr>
        <w:t xml:space="preserve">Current PHR framework only allows for reactive reporting, i.e., UE reports </w:t>
      </w:r>
      <w:r w:rsidR="00343E7A">
        <w:rPr>
          <w:lang w:eastAsia="zh-CN"/>
        </w:rPr>
        <w:t>current PH, Pcmax, etc.</w:t>
      </w:r>
      <w:r w:rsidR="007E55DE">
        <w:rPr>
          <w:lang w:eastAsia="zh-CN"/>
        </w:rPr>
        <w:t xml:space="preserve"> </w:t>
      </w:r>
      <w:r w:rsidR="00EF23B3">
        <w:rPr>
          <w:lang w:eastAsia="zh-CN"/>
        </w:rPr>
        <w:t xml:space="preserve">While enhancements to reactive reporting are useful, </w:t>
      </w:r>
      <w:r w:rsidR="0029748F">
        <w:rPr>
          <w:lang w:eastAsia="zh-CN"/>
        </w:rPr>
        <w:t xml:space="preserve">a network may </w:t>
      </w:r>
      <w:r w:rsidR="00F73397">
        <w:rPr>
          <w:lang w:eastAsia="zh-CN"/>
        </w:rPr>
        <w:t xml:space="preserve">benefit more from proactive enhancements that may allow a gNB to take </w:t>
      </w:r>
      <w:r w:rsidR="00FD68C6">
        <w:rPr>
          <w:lang w:eastAsia="zh-CN"/>
        </w:rPr>
        <w:t>corrective action to facilitate high power transmissions in uplink.</w:t>
      </w:r>
      <w:r w:rsidR="00321034">
        <w:rPr>
          <w:lang w:eastAsia="zh-CN"/>
        </w:rPr>
        <w:t xml:space="preserve"> Enhanced gNB schedulers may be able to use this information to </w:t>
      </w:r>
      <w:r w:rsidR="0007271A">
        <w:rPr>
          <w:lang w:eastAsia="zh-CN"/>
        </w:rPr>
        <w:t>pre-emptively optimize uplink transmissions.</w:t>
      </w:r>
      <w:r w:rsidR="00E9520E">
        <w:rPr>
          <w:lang w:eastAsia="zh-CN"/>
        </w:rPr>
        <w:t xml:space="preserve"> Proactive reporting could take many forms, for </w:t>
      </w:r>
      <w:r w:rsidR="00A73DCC">
        <w:rPr>
          <w:lang w:eastAsia="zh-CN"/>
        </w:rPr>
        <w:t>e.g.,</w:t>
      </w:r>
      <w:r w:rsidR="00E9520E">
        <w:rPr>
          <w:lang w:eastAsia="zh-CN"/>
        </w:rPr>
        <w:t xml:space="preserve"> </w:t>
      </w:r>
      <w:r w:rsidR="006E62FE" w:rsidRPr="006E62FE">
        <w:rPr>
          <w:lang w:eastAsia="zh-CN"/>
        </w:rPr>
        <w:t>duration for which UE is able to sustain current t</w:t>
      </w:r>
      <w:r w:rsidR="00427223">
        <w:rPr>
          <w:lang w:eastAsia="zh-CN"/>
        </w:rPr>
        <w:t>ransmit</w:t>
      </w:r>
      <w:r w:rsidR="006E62FE" w:rsidRPr="006E62FE">
        <w:rPr>
          <w:lang w:eastAsia="zh-CN"/>
        </w:rPr>
        <w:t xml:space="preserve"> power level (Pcmax), sustainable duty cycle, estimated duration of power class fallback, etc</w:t>
      </w:r>
      <w:r w:rsidR="006E62FE">
        <w:rPr>
          <w:lang w:eastAsia="zh-CN"/>
        </w:rPr>
        <w:t>.</w:t>
      </w:r>
      <w:r w:rsidR="0040707B">
        <w:rPr>
          <w:lang w:eastAsia="zh-CN"/>
        </w:rPr>
        <w:t xml:space="preserve"> </w:t>
      </w:r>
      <w:r w:rsidR="005272C2">
        <w:rPr>
          <w:lang w:eastAsia="zh-CN"/>
        </w:rPr>
        <w:t>From a UE perspective, n</w:t>
      </w:r>
      <w:r w:rsidR="009B6F1D">
        <w:rPr>
          <w:lang w:eastAsia="zh-CN"/>
        </w:rPr>
        <w:t>ot all bands are equivalent from an RF exposure standpoint</w:t>
      </w:r>
      <w:r w:rsidR="002363A7">
        <w:rPr>
          <w:lang w:eastAsia="zh-CN"/>
        </w:rPr>
        <w:t xml:space="preserve"> and it is </w:t>
      </w:r>
      <w:r w:rsidR="007C1703">
        <w:rPr>
          <w:lang w:eastAsia="zh-CN"/>
        </w:rPr>
        <w:t xml:space="preserve">good for </w:t>
      </w:r>
      <w:r w:rsidR="005272C2">
        <w:rPr>
          <w:lang w:eastAsia="zh-CN"/>
        </w:rPr>
        <w:t xml:space="preserve">the </w:t>
      </w:r>
      <w:r w:rsidR="007C1703">
        <w:rPr>
          <w:lang w:eastAsia="zh-CN"/>
        </w:rPr>
        <w:t>gNB to know the bands currently under challenging RF exposure conditions.</w:t>
      </w:r>
      <w:r w:rsidR="002363A7">
        <w:rPr>
          <w:lang w:eastAsia="zh-CN"/>
        </w:rPr>
        <w:t xml:space="preserve"> Proactive reporting </w:t>
      </w:r>
      <w:r w:rsidR="0040707B">
        <w:rPr>
          <w:lang w:eastAsia="zh-CN"/>
        </w:rPr>
        <w:t xml:space="preserve">also </w:t>
      </w:r>
      <w:r w:rsidR="002363A7">
        <w:rPr>
          <w:lang w:eastAsia="zh-CN"/>
        </w:rPr>
        <w:t>aims to convey these challenges to the gNB</w:t>
      </w:r>
      <w:r w:rsidR="0040707B">
        <w:rPr>
          <w:lang w:eastAsia="zh-CN"/>
        </w:rPr>
        <w:t>.</w:t>
      </w:r>
    </w:p>
    <w:p w14:paraId="2A7A9BE9" w14:textId="43D5A7E1" w:rsidR="0003469F" w:rsidRDefault="00CE1C3B" w:rsidP="00321F1A">
      <w:pPr>
        <w:rPr>
          <w:lang w:eastAsia="zh-CN"/>
        </w:rPr>
      </w:pPr>
      <w:r>
        <w:rPr>
          <w:lang w:eastAsia="zh-CN"/>
        </w:rPr>
        <w:lastRenderedPageBreak/>
        <w:t xml:space="preserve">It is envisioned that </w:t>
      </w:r>
      <w:r w:rsidR="00E12F58">
        <w:rPr>
          <w:lang w:eastAsia="zh-CN"/>
        </w:rPr>
        <w:t>these potential enhancements are absorbed into the</w:t>
      </w:r>
      <w:r w:rsidR="000A3285">
        <w:rPr>
          <w:lang w:eastAsia="zh-CN"/>
        </w:rPr>
        <w:t xml:space="preserve"> existing PHR framework</w:t>
      </w:r>
      <w:r w:rsidR="001B56E9">
        <w:rPr>
          <w:lang w:eastAsia="zh-CN"/>
        </w:rPr>
        <w:t xml:space="preserve"> and are reported as part of the PHR transmitted </w:t>
      </w:r>
      <w:r w:rsidR="008F3B74">
        <w:rPr>
          <w:lang w:eastAsia="zh-CN"/>
        </w:rPr>
        <w:t xml:space="preserve">by the UE. Enhancements could include the addition of new octets to accommodate new fields, new trigger conditions, </w:t>
      </w:r>
      <w:r w:rsidR="00453745">
        <w:rPr>
          <w:lang w:eastAsia="zh-CN"/>
        </w:rPr>
        <w:t xml:space="preserve">new procedures for computing certain fields, </w:t>
      </w:r>
      <w:r w:rsidR="008F3B74">
        <w:rPr>
          <w:lang w:eastAsia="zh-CN"/>
        </w:rPr>
        <w:t>finer granularity for reporting existing fields</w:t>
      </w:r>
      <w:r w:rsidR="00E31731">
        <w:rPr>
          <w:lang w:eastAsia="zh-CN"/>
        </w:rPr>
        <w:t>, etc.</w:t>
      </w:r>
      <w:r w:rsidR="0015390E">
        <w:rPr>
          <w:lang w:eastAsia="zh-CN"/>
        </w:rPr>
        <w:t xml:space="preserve"> </w:t>
      </w:r>
    </w:p>
    <w:p w14:paraId="5C985081" w14:textId="77777777" w:rsidR="00443C55" w:rsidRDefault="00504B3A" w:rsidP="00443C55">
      <w:pPr>
        <w:keepNext/>
        <w:jc w:val="center"/>
      </w:pPr>
      <w:r>
        <w:rPr>
          <w:noProof/>
          <w:lang w:eastAsia="zh-CN"/>
        </w:rPr>
        <w:drawing>
          <wp:inline distT="0" distB="0" distL="0" distR="0" wp14:anchorId="36C5BF7C" wp14:editId="10757855">
            <wp:extent cx="4470673"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88828" cy="1996896"/>
                    </a:xfrm>
                    <a:prstGeom prst="rect">
                      <a:avLst/>
                    </a:prstGeom>
                    <a:noFill/>
                  </pic:spPr>
                </pic:pic>
              </a:graphicData>
            </a:graphic>
          </wp:inline>
        </w:drawing>
      </w:r>
    </w:p>
    <w:p w14:paraId="154E6453" w14:textId="385BF3F2" w:rsidR="00CE1C3B" w:rsidRPr="00443C55" w:rsidRDefault="00443C55" w:rsidP="00443C55">
      <w:pPr>
        <w:pStyle w:val="Caption"/>
        <w:jc w:val="center"/>
        <w:rPr>
          <w:color w:val="000000" w:themeColor="text1"/>
          <w:lang w:eastAsia="zh-CN"/>
        </w:rPr>
      </w:pPr>
      <w:r w:rsidRPr="00443C55">
        <w:rPr>
          <w:color w:val="000000" w:themeColor="text1"/>
        </w:rPr>
        <w:t xml:space="preserve">Figure </w:t>
      </w:r>
      <w:r w:rsidRPr="00443C55">
        <w:rPr>
          <w:color w:val="000000" w:themeColor="text1"/>
        </w:rPr>
        <w:fldChar w:fldCharType="begin"/>
      </w:r>
      <w:r w:rsidRPr="00443C55">
        <w:rPr>
          <w:color w:val="000000" w:themeColor="text1"/>
        </w:rPr>
        <w:instrText xml:space="preserve"> SEQ Figure \* ARABIC </w:instrText>
      </w:r>
      <w:r w:rsidRPr="00443C55">
        <w:rPr>
          <w:color w:val="000000" w:themeColor="text1"/>
        </w:rPr>
        <w:fldChar w:fldCharType="separate"/>
      </w:r>
      <w:r w:rsidR="00EA7EC4">
        <w:rPr>
          <w:noProof/>
          <w:color w:val="000000" w:themeColor="text1"/>
        </w:rPr>
        <w:t>26</w:t>
      </w:r>
      <w:r w:rsidRPr="00443C55">
        <w:rPr>
          <w:color w:val="000000" w:themeColor="text1"/>
        </w:rPr>
        <w:fldChar w:fldCharType="end"/>
      </w:r>
      <w:r w:rsidRPr="00443C55">
        <w:rPr>
          <w:color w:val="000000" w:themeColor="text1"/>
        </w:rPr>
        <w:t xml:space="preserve"> Potential changes to PHR framework</w:t>
      </w:r>
    </w:p>
    <w:tbl>
      <w:tblPr>
        <w:tblStyle w:val="TableGrid"/>
        <w:tblW w:w="0" w:type="auto"/>
        <w:tblLook w:val="04A0" w:firstRow="1" w:lastRow="0" w:firstColumn="1" w:lastColumn="0" w:noHBand="0" w:noVBand="1"/>
      </w:tblPr>
      <w:tblGrid>
        <w:gridCol w:w="9350"/>
      </w:tblGrid>
      <w:tr w:rsidR="00AB6B98" w14:paraId="3E0C1C37" w14:textId="77777777" w:rsidTr="00AB6B98">
        <w:tc>
          <w:tcPr>
            <w:tcW w:w="9350" w:type="dxa"/>
          </w:tcPr>
          <w:p w14:paraId="72DDB23F" w14:textId="03B9F29F" w:rsidR="00AB6B98" w:rsidRDefault="00AB6B98" w:rsidP="00AB6B98">
            <w:pPr>
              <w:rPr>
                <w:b/>
                <w:bCs/>
                <w:lang w:eastAsia="zh-CN"/>
              </w:rPr>
            </w:pPr>
            <w:r w:rsidRPr="004722A5">
              <w:rPr>
                <w:b/>
                <w:bCs/>
                <w:lang w:eastAsia="zh-CN"/>
              </w:rPr>
              <w:t>Proposal</w:t>
            </w:r>
            <w:r w:rsidR="003D5CE8">
              <w:rPr>
                <w:b/>
                <w:bCs/>
                <w:lang w:eastAsia="zh-CN"/>
              </w:rPr>
              <w:t xml:space="preserve"> </w:t>
            </w:r>
            <w:r w:rsidR="0074382A">
              <w:rPr>
                <w:b/>
                <w:bCs/>
                <w:lang w:eastAsia="zh-CN"/>
              </w:rPr>
              <w:t>11</w:t>
            </w:r>
            <w:r>
              <w:rPr>
                <w:lang w:eastAsia="zh-CN"/>
              </w:rPr>
              <w:t>: For R18 CA/DC enhancements, repurpose the existing PHR framework to report any new parameters that are agreed to be shared by the UE to the gNB. Enhancements could include the addition of new octets to accommodate new fields, new trigger conditions, new procedures for computing certain fields, finer granularity for reporting existing fields, etc.</w:t>
            </w:r>
          </w:p>
        </w:tc>
      </w:tr>
    </w:tbl>
    <w:p w14:paraId="0E4B64B7" w14:textId="77777777" w:rsidR="00AB6B98" w:rsidRDefault="00AB6B98" w:rsidP="00321F1A">
      <w:pPr>
        <w:rPr>
          <w:b/>
          <w:bCs/>
          <w:lang w:eastAsia="zh-CN"/>
        </w:rPr>
      </w:pPr>
    </w:p>
    <w:p w14:paraId="60494680" w14:textId="1E1AFC8F" w:rsidR="005E3026" w:rsidRDefault="005E3026">
      <w:pPr>
        <w:pStyle w:val="Heading2"/>
        <w:rPr>
          <w:lang w:eastAsia="zh-CN"/>
        </w:rPr>
      </w:pPr>
      <w:r>
        <w:rPr>
          <w:lang w:eastAsia="zh-CN"/>
        </w:rPr>
        <w:t>On Power-class Fallback at the UE</w:t>
      </w:r>
    </w:p>
    <w:p w14:paraId="0C57AFC0" w14:textId="11ACFBB6" w:rsidR="005E3026" w:rsidRDefault="005E3026" w:rsidP="009126C3">
      <w:pPr>
        <w:pStyle w:val="Heading3"/>
        <w:rPr>
          <w:lang w:eastAsia="zh-CN"/>
        </w:rPr>
      </w:pPr>
      <w:r>
        <w:rPr>
          <w:lang w:eastAsia="zh-CN"/>
        </w:rPr>
        <w:t xml:space="preserve">Background </w:t>
      </w:r>
    </w:p>
    <w:p w14:paraId="4C8F48C8" w14:textId="16E46493" w:rsidR="00094747" w:rsidRDefault="00094747" w:rsidP="00321F1A">
      <w:pPr>
        <w:jc w:val="both"/>
        <w:rPr>
          <w:lang w:val="en-GB" w:eastAsia="zh-CN"/>
        </w:rPr>
      </w:pPr>
      <w:r w:rsidRPr="001B7A9A">
        <w:rPr>
          <w:lang w:val="en-GB" w:eastAsia="zh-CN"/>
        </w:rPr>
        <w:t xml:space="preserve">As per the current 5G NR specification, a PC2 UE is allowed to indicate </w:t>
      </w:r>
      <w:r w:rsidR="00F30C0A" w:rsidRPr="001B7A9A">
        <w:rPr>
          <w:lang w:val="en-GB" w:eastAsia="zh-CN"/>
        </w:rPr>
        <w:t xml:space="preserve">(via capability) the maximum duty cycle up to which it is able to sustain PC2 power levels for uplink transmissions. For FR1 bands, the maximum duty cycle is indicated via the maxUplinkDutyCycle-PC2-FR1 parameter in the capability report. If this parameter is not reported by a PC2-capable UE, it is assumed to be 50%. When uplink scheduling configured or received by the UE is such that this requirement is violated, then the UE is allowed to fallback to operating as a PC3 UE. </w:t>
      </w:r>
    </w:p>
    <w:tbl>
      <w:tblPr>
        <w:tblStyle w:val="TableGrid"/>
        <w:tblW w:w="0" w:type="auto"/>
        <w:tblLook w:val="04A0" w:firstRow="1" w:lastRow="0" w:firstColumn="1" w:lastColumn="0" w:noHBand="0" w:noVBand="1"/>
      </w:tblPr>
      <w:tblGrid>
        <w:gridCol w:w="9350"/>
      </w:tblGrid>
      <w:tr w:rsidR="00595B5F" w14:paraId="120F6642" w14:textId="77777777" w:rsidTr="00595B5F">
        <w:tc>
          <w:tcPr>
            <w:tcW w:w="9350" w:type="dxa"/>
          </w:tcPr>
          <w:p w14:paraId="2E8DD41F" w14:textId="76643558" w:rsidR="00595B5F" w:rsidRDefault="00595B5F" w:rsidP="00321F1A">
            <w:pPr>
              <w:jc w:val="both"/>
              <w:rPr>
                <w:lang w:eastAsia="zh-CN"/>
              </w:rPr>
            </w:pPr>
            <w:r>
              <w:rPr>
                <w:noProof/>
              </w:rPr>
              <w:drawing>
                <wp:inline distT="0" distB="0" distL="0" distR="0" wp14:anchorId="7D5F66FA" wp14:editId="4FFE8852">
                  <wp:extent cx="5943600" cy="2763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763520"/>
                          </a:xfrm>
                          <a:prstGeom prst="rect">
                            <a:avLst/>
                          </a:prstGeom>
                        </pic:spPr>
                      </pic:pic>
                    </a:graphicData>
                  </a:graphic>
                </wp:inline>
              </w:drawing>
            </w:r>
          </w:p>
        </w:tc>
      </w:tr>
    </w:tbl>
    <w:p w14:paraId="52F30BBB" w14:textId="77777777" w:rsidR="00595B5F" w:rsidRPr="001B7A9A" w:rsidRDefault="00595B5F" w:rsidP="00321F1A">
      <w:pPr>
        <w:jc w:val="both"/>
        <w:rPr>
          <w:lang w:val="en-GB" w:eastAsia="zh-CN"/>
        </w:rPr>
      </w:pPr>
    </w:p>
    <w:p w14:paraId="5DF7663C" w14:textId="4681377E" w:rsidR="00F30C0A" w:rsidRDefault="00F30C0A" w:rsidP="00053B58">
      <w:pPr>
        <w:jc w:val="both"/>
        <w:rPr>
          <w:lang w:val="en-GB" w:eastAsia="zh-CN"/>
        </w:rPr>
      </w:pPr>
      <w:r w:rsidRPr="001B7A9A">
        <w:rPr>
          <w:lang w:val="en-GB" w:eastAsia="zh-CN"/>
        </w:rPr>
        <w:t xml:space="preserve">It is </w:t>
      </w:r>
      <w:r w:rsidR="004E610F" w:rsidRPr="001B7A9A">
        <w:rPr>
          <w:lang w:val="en-GB" w:eastAsia="zh-CN"/>
        </w:rPr>
        <w:t>noted</w:t>
      </w:r>
      <w:r w:rsidRPr="001B7A9A">
        <w:rPr>
          <w:lang w:val="en-GB" w:eastAsia="zh-CN"/>
        </w:rPr>
        <w:t xml:space="preserve"> that exactly when this fallback occurs is not very clear to the gNB as </w:t>
      </w:r>
      <w:r w:rsidR="00565DD4" w:rsidRPr="001B7A9A">
        <w:rPr>
          <w:lang w:val="en-GB" w:eastAsia="zh-CN"/>
        </w:rPr>
        <w:t>the UE needs to consider the percentage of uplink symbols transmitted in a certain evaluation period and determine whether it can continue to operate as</w:t>
      </w:r>
      <w:r w:rsidR="00C97BDB" w:rsidRPr="001B7A9A">
        <w:rPr>
          <w:lang w:val="en-GB" w:eastAsia="zh-CN"/>
        </w:rPr>
        <w:t xml:space="preserve"> a</w:t>
      </w:r>
      <w:r w:rsidR="00565DD4" w:rsidRPr="001B7A9A">
        <w:rPr>
          <w:lang w:val="en-GB" w:eastAsia="zh-CN"/>
        </w:rPr>
        <w:t xml:space="preserve"> PC2 </w:t>
      </w:r>
      <w:r w:rsidR="00565DD4" w:rsidRPr="001B7A9A">
        <w:rPr>
          <w:lang w:val="en-GB" w:eastAsia="zh-CN"/>
        </w:rPr>
        <w:lastRenderedPageBreak/>
        <w:t>UE, but the exact evaluation period is not known to the gNB.</w:t>
      </w:r>
      <w:r w:rsidR="00BC6C26" w:rsidRPr="001B7A9A">
        <w:rPr>
          <w:lang w:val="en-GB" w:eastAsia="zh-CN"/>
        </w:rPr>
        <w:t xml:space="preserve"> For example, a UE averaging over 1 frame may behave differently compared to a UE averaging over 2 frames, etc. </w:t>
      </w:r>
    </w:p>
    <w:p w14:paraId="663AC2AD" w14:textId="18CCB614" w:rsidR="00D41639" w:rsidRDefault="00D41639" w:rsidP="00053B58">
      <w:pPr>
        <w:jc w:val="both"/>
        <w:rPr>
          <w:lang w:val="en-GB" w:eastAsia="zh-CN"/>
        </w:rPr>
      </w:pPr>
      <w:r>
        <w:rPr>
          <w:lang w:val="en-GB" w:eastAsia="zh-CN"/>
        </w:rPr>
        <w:t xml:space="preserve">Further, it is also not clear why a fallback would be necessary </w:t>
      </w:r>
      <w:r w:rsidR="002E701C">
        <w:rPr>
          <w:lang w:val="en-GB" w:eastAsia="zh-CN"/>
        </w:rPr>
        <w:t xml:space="preserve">if the UE is transmitting at transmit power levels well below the maximum transmit powers. Duty cycles would not play any significant role in such scenarios and a forced power class fallback is completely unwarranted. </w:t>
      </w:r>
    </w:p>
    <w:tbl>
      <w:tblPr>
        <w:tblStyle w:val="TableGrid"/>
        <w:tblW w:w="0" w:type="auto"/>
        <w:tblLook w:val="04A0" w:firstRow="1" w:lastRow="0" w:firstColumn="1" w:lastColumn="0" w:noHBand="0" w:noVBand="1"/>
      </w:tblPr>
      <w:tblGrid>
        <w:gridCol w:w="9350"/>
      </w:tblGrid>
      <w:tr w:rsidR="00D5692C" w14:paraId="6919D93B" w14:textId="77777777" w:rsidTr="00D5692C">
        <w:tc>
          <w:tcPr>
            <w:tcW w:w="9350" w:type="dxa"/>
          </w:tcPr>
          <w:p w14:paraId="6975D92F" w14:textId="4DCED53C" w:rsidR="00D5692C" w:rsidRDefault="00D5692C" w:rsidP="00D5692C">
            <w:pPr>
              <w:jc w:val="both"/>
              <w:rPr>
                <w:b/>
                <w:bCs/>
                <w:lang w:eastAsia="zh-CN"/>
              </w:rPr>
            </w:pPr>
            <w:r w:rsidRPr="00E60ECC">
              <w:rPr>
                <w:b/>
                <w:bCs/>
                <w:lang w:eastAsia="zh-CN"/>
              </w:rPr>
              <w:t>Observation</w:t>
            </w:r>
            <w:r w:rsidR="005A6D6A">
              <w:rPr>
                <w:b/>
                <w:bCs/>
                <w:lang w:eastAsia="zh-CN"/>
              </w:rPr>
              <w:t xml:space="preserve"> 11</w:t>
            </w:r>
            <w:r>
              <w:rPr>
                <w:lang w:eastAsia="zh-CN"/>
              </w:rPr>
              <w:t>: Power-class fallback may not be necessary for a UE that is not transmitting at high power levels even if duty cycle constraints are violated.</w:t>
            </w:r>
          </w:p>
        </w:tc>
      </w:tr>
    </w:tbl>
    <w:p w14:paraId="0F15CF8D" w14:textId="77777777" w:rsidR="00D5692C" w:rsidRDefault="00D5692C" w:rsidP="00053B58">
      <w:pPr>
        <w:jc w:val="both"/>
        <w:rPr>
          <w:b/>
          <w:bCs/>
          <w:lang w:val="en-GB" w:eastAsia="zh-CN"/>
        </w:rPr>
      </w:pPr>
    </w:p>
    <w:p w14:paraId="2018DB61" w14:textId="33011665" w:rsidR="00594BE2" w:rsidRDefault="00594BE2" w:rsidP="00321F1A">
      <w:pPr>
        <w:jc w:val="both"/>
        <w:rPr>
          <w:lang w:val="en-GB" w:eastAsia="zh-CN"/>
        </w:rPr>
      </w:pPr>
      <w:r w:rsidRPr="001B7A9A">
        <w:rPr>
          <w:lang w:val="en-GB" w:eastAsia="zh-CN"/>
        </w:rPr>
        <w:t>While th</w:t>
      </w:r>
      <w:r w:rsidR="00AE039A" w:rsidRPr="001B7A9A">
        <w:rPr>
          <w:lang w:val="en-GB" w:eastAsia="zh-CN"/>
        </w:rPr>
        <w:t xml:space="preserve">e </w:t>
      </w:r>
      <w:r w:rsidRPr="001B7A9A">
        <w:rPr>
          <w:lang w:val="en-GB" w:eastAsia="zh-CN"/>
        </w:rPr>
        <w:t xml:space="preserve">above </w:t>
      </w:r>
      <w:r w:rsidR="003A6A98" w:rsidRPr="001B7A9A">
        <w:rPr>
          <w:lang w:val="en-GB" w:eastAsia="zh-CN"/>
        </w:rPr>
        <w:t>behaviour</w:t>
      </w:r>
      <w:r w:rsidRPr="001B7A9A">
        <w:rPr>
          <w:lang w:val="en-GB" w:eastAsia="zh-CN"/>
        </w:rPr>
        <w:t xml:space="preserve"> is presented in a non-CA context, it also carrie</w:t>
      </w:r>
      <w:r w:rsidR="00AE039A" w:rsidRPr="001B7A9A">
        <w:rPr>
          <w:lang w:val="en-GB" w:eastAsia="zh-CN"/>
        </w:rPr>
        <w:t>s</w:t>
      </w:r>
      <w:r w:rsidRPr="001B7A9A">
        <w:rPr>
          <w:lang w:val="en-GB" w:eastAsia="zh-CN"/>
        </w:rPr>
        <w:t xml:space="preserve"> over to HPUE operation in CA mode, i.e., when UE indicates HigherPowerLimitCADC, the per-band-combination power class no longer applies and the UE is governed by the individual power classes of each band</w:t>
      </w:r>
      <w:r w:rsidR="00AE039A" w:rsidRPr="001B7A9A">
        <w:rPr>
          <w:lang w:val="en-GB" w:eastAsia="zh-CN"/>
        </w:rPr>
        <w:t xml:space="preserve">, provided </w:t>
      </w:r>
      <w:r w:rsidRPr="001B7A9A">
        <w:rPr>
          <w:rFonts w:eastAsia="Times New Roman"/>
        </w:rPr>
        <w:t>∆Ppowerclass is set to zero</w:t>
      </w:r>
      <w:r w:rsidR="00AE039A" w:rsidRPr="001B7A9A">
        <w:rPr>
          <w:rFonts w:eastAsia="Times New Roman"/>
        </w:rPr>
        <w:t>. However, de</w:t>
      </w:r>
      <w:r w:rsidRPr="001B7A9A">
        <w:rPr>
          <w:rFonts w:eastAsia="Times New Roman"/>
        </w:rPr>
        <w:t>termining the value of ∆Ppowerclass is tied to whether the duty cycling requirements are met or not. Thus, it is argued tha</w:t>
      </w:r>
      <w:r w:rsidR="00AE039A" w:rsidRPr="001B7A9A">
        <w:rPr>
          <w:rFonts w:eastAsia="Times New Roman"/>
        </w:rPr>
        <w:t>t</w:t>
      </w:r>
      <w:r w:rsidRPr="001B7A9A">
        <w:rPr>
          <w:rFonts w:eastAsia="Times New Roman"/>
        </w:rPr>
        <w:t xml:space="preserve"> the value of ∆Ppowerclass for a band at a given time may not be known to the gNB.</w:t>
      </w:r>
      <w:r w:rsidRPr="001B7A9A">
        <w:rPr>
          <w:lang w:val="en-GB" w:eastAsia="zh-CN"/>
        </w:rPr>
        <w:t xml:space="preserve">  In such a case, the individual power classes of each band are determined by the UE based on the duty cycling requirements being met or not</w:t>
      </w:r>
      <w:r w:rsidR="00AE039A" w:rsidRPr="001B7A9A">
        <w:rPr>
          <w:lang w:val="en-GB" w:eastAsia="zh-CN"/>
        </w:rPr>
        <w:t xml:space="preserve"> and whether </w:t>
      </w:r>
      <w:r w:rsidR="00C5087A" w:rsidRPr="001B7A9A">
        <w:rPr>
          <w:lang w:val="en-GB" w:eastAsia="zh-CN"/>
        </w:rPr>
        <w:t>h</w:t>
      </w:r>
      <w:r w:rsidR="00AE039A" w:rsidRPr="001B7A9A">
        <w:rPr>
          <w:lang w:val="en-GB" w:eastAsia="zh-CN"/>
        </w:rPr>
        <w:t xml:space="preserve">igher power-limit capability is </w:t>
      </w:r>
      <w:r w:rsidR="002B69C1" w:rsidRPr="001B7A9A">
        <w:rPr>
          <w:lang w:val="en-GB" w:eastAsia="zh-CN"/>
        </w:rPr>
        <w:t>used</w:t>
      </w:r>
      <w:r w:rsidR="00AE039A" w:rsidRPr="001B7A9A">
        <w:rPr>
          <w:lang w:val="en-GB" w:eastAsia="zh-CN"/>
        </w:rPr>
        <w:t xml:space="preserve"> or not may not be known to the gNB.</w:t>
      </w:r>
    </w:p>
    <w:tbl>
      <w:tblPr>
        <w:tblStyle w:val="TableGrid"/>
        <w:tblW w:w="0" w:type="auto"/>
        <w:tblLook w:val="04A0" w:firstRow="1" w:lastRow="0" w:firstColumn="1" w:lastColumn="0" w:noHBand="0" w:noVBand="1"/>
      </w:tblPr>
      <w:tblGrid>
        <w:gridCol w:w="9350"/>
      </w:tblGrid>
      <w:tr w:rsidR="00D5692C" w14:paraId="24654568" w14:textId="77777777" w:rsidTr="00D5692C">
        <w:tc>
          <w:tcPr>
            <w:tcW w:w="9350" w:type="dxa"/>
          </w:tcPr>
          <w:p w14:paraId="6BF801AD" w14:textId="4BCB9FDD" w:rsidR="00D5692C" w:rsidRPr="00D5692C" w:rsidRDefault="00D5692C" w:rsidP="00321F1A">
            <w:pPr>
              <w:jc w:val="both"/>
              <w:rPr>
                <w:lang w:eastAsia="zh-CN"/>
              </w:rPr>
            </w:pPr>
            <w:r w:rsidRPr="00E60ECC">
              <w:rPr>
                <w:b/>
                <w:bCs/>
                <w:lang w:eastAsia="zh-CN"/>
              </w:rPr>
              <w:t>Observation</w:t>
            </w:r>
            <w:r w:rsidR="003D0303">
              <w:rPr>
                <w:b/>
                <w:bCs/>
                <w:lang w:eastAsia="zh-CN"/>
              </w:rPr>
              <w:t xml:space="preserve"> 12</w:t>
            </w:r>
            <w:r>
              <w:rPr>
                <w:lang w:eastAsia="zh-CN"/>
              </w:rPr>
              <w:t xml:space="preserve">: When a </w:t>
            </w:r>
            <w:r w:rsidRPr="001B7A9A">
              <w:rPr>
                <w:lang w:eastAsia="zh-CN"/>
              </w:rPr>
              <w:t xml:space="preserve">UE indicates </w:t>
            </w:r>
            <w:r>
              <w:rPr>
                <w:lang w:eastAsia="zh-CN"/>
              </w:rPr>
              <w:t>support for “</w:t>
            </w:r>
            <w:r w:rsidRPr="001B7A9A">
              <w:rPr>
                <w:lang w:eastAsia="zh-CN"/>
              </w:rPr>
              <w:t>HigherPowerLimitCADC</w:t>
            </w:r>
            <w:r>
              <w:rPr>
                <w:lang w:eastAsia="zh-CN"/>
              </w:rPr>
              <w:t>” and gNB enables this feature, whether the legacy per-band-combination power class applies or not depends on whether the UE takes a power class fallback in any one of the underlying bands.</w:t>
            </w:r>
          </w:p>
        </w:tc>
      </w:tr>
    </w:tbl>
    <w:p w14:paraId="687A68DC" w14:textId="77777777" w:rsidR="00D5692C" w:rsidRDefault="00D5692C" w:rsidP="00321F1A">
      <w:pPr>
        <w:jc w:val="both"/>
        <w:rPr>
          <w:b/>
          <w:bCs/>
          <w:lang w:val="en-GB" w:eastAsia="zh-CN"/>
        </w:rPr>
      </w:pPr>
    </w:p>
    <w:p w14:paraId="74862FFB" w14:textId="2558C989" w:rsidR="005E3026" w:rsidRDefault="005E3026" w:rsidP="009126C3">
      <w:pPr>
        <w:pStyle w:val="Heading3"/>
        <w:rPr>
          <w:lang w:eastAsia="zh-CN"/>
        </w:rPr>
      </w:pPr>
      <w:r>
        <w:rPr>
          <w:lang w:eastAsia="zh-CN"/>
        </w:rPr>
        <w:t>Discussion</w:t>
      </w:r>
    </w:p>
    <w:p w14:paraId="5A385260" w14:textId="7EB4C915" w:rsidR="0090184E" w:rsidRPr="001B7A9A" w:rsidRDefault="0090184E" w:rsidP="00321F1A">
      <w:pPr>
        <w:jc w:val="both"/>
        <w:rPr>
          <w:lang w:eastAsia="zh-CN"/>
        </w:rPr>
      </w:pPr>
      <w:r w:rsidRPr="00321F1A">
        <w:rPr>
          <w:lang w:val="en-GB" w:eastAsia="zh-CN"/>
        </w:rPr>
        <w:t>While the issue at hand is rather clear, what exactly is addressed and how it is addressed needs careful consideration. Towards this, we make a distinction between two type</w:t>
      </w:r>
      <w:r w:rsidR="00AD1863" w:rsidRPr="00321F1A">
        <w:rPr>
          <w:lang w:val="en-GB" w:eastAsia="zh-CN"/>
        </w:rPr>
        <w:t>s</w:t>
      </w:r>
      <w:r w:rsidRPr="00321F1A">
        <w:rPr>
          <w:lang w:val="en-GB" w:eastAsia="zh-CN"/>
        </w:rPr>
        <w:t xml:space="preserve"> of reporting that a UE may undertake. A UE could merely report the value of </w:t>
      </w:r>
      <m:oMath>
        <m:r>
          <m:rPr>
            <m:sty m:val="p"/>
          </m:rPr>
          <w:rPr>
            <w:rFonts w:ascii="Cambria Math" w:hAnsi="Cambria Math"/>
            <w:lang w:val="en-GB" w:eastAsia="zh-CN"/>
          </w:rPr>
          <m:t>Δ</m:t>
        </m:r>
        <m:r>
          <w:rPr>
            <w:rFonts w:ascii="Cambria Math" w:hAnsi="Cambria Math"/>
            <w:lang w:val="en-GB" w:eastAsia="zh-CN"/>
          </w:rPr>
          <m:t>Ppowerclass</m:t>
        </m:r>
      </m:oMath>
      <w:r w:rsidRPr="00321F1A">
        <w:rPr>
          <w:lang w:val="en-GB" w:eastAsia="zh-CN"/>
        </w:rPr>
        <w:t xml:space="preserve"> at any given point in time as part of PHR. Or alternately, the UE could make this reporting more valuable to the gNB by reporting how long the value of the </w:t>
      </w:r>
      <m:oMath>
        <m:r>
          <m:rPr>
            <m:sty m:val="p"/>
          </m:rPr>
          <w:rPr>
            <w:rFonts w:ascii="Cambria Math" w:hAnsi="Cambria Math"/>
            <w:lang w:val="en-GB" w:eastAsia="zh-CN"/>
          </w:rPr>
          <m:t>Δ</m:t>
        </m:r>
        <m:r>
          <w:rPr>
            <w:rFonts w:ascii="Cambria Math" w:hAnsi="Cambria Math"/>
            <w:lang w:val="en-GB" w:eastAsia="zh-CN"/>
          </w:rPr>
          <m:t>Ppowerclass</m:t>
        </m:r>
      </m:oMath>
      <w:r w:rsidRPr="00321F1A">
        <w:rPr>
          <w:lang w:val="en-GB" w:eastAsia="zh-CN"/>
        </w:rPr>
        <w:t xml:space="preserve"> is likely to remain unchanged, or report conditions under which a power class downgrade can be avoided (for e.g., by reporting sustainable duty cycle to continue operating as a PC2 UE).</w:t>
      </w:r>
    </w:p>
    <w:p w14:paraId="276116BB" w14:textId="0F9DB10B" w:rsidR="00094747" w:rsidRPr="001B7A9A" w:rsidRDefault="0098655F">
      <w:pPr>
        <w:overflowPunct/>
        <w:autoSpaceDE/>
        <w:autoSpaceDN/>
        <w:adjustRightInd/>
        <w:spacing w:before="100" w:beforeAutospacing="1" w:after="100" w:afterAutospacing="1"/>
        <w:jc w:val="both"/>
        <w:textAlignment w:val="auto"/>
        <w:rPr>
          <w:rFonts w:eastAsia="Times New Roman"/>
          <w:strike/>
        </w:rPr>
      </w:pPr>
      <w:r w:rsidRPr="001B7A9A">
        <w:rPr>
          <w:rFonts w:eastAsia="Times New Roman"/>
        </w:rPr>
        <w:t xml:space="preserve">To further elaborate, note that </w:t>
      </w:r>
      <w:r w:rsidR="00094747" w:rsidRPr="001B7A9A">
        <w:rPr>
          <w:rFonts w:eastAsia="Times New Roman"/>
        </w:rPr>
        <w:t xml:space="preserve">PHR already provides the network with the instantaneous </w:t>
      </w:r>
      <w:r w:rsidR="004D6F7D" w:rsidRPr="001B7A9A">
        <w:rPr>
          <w:rFonts w:eastAsia="Times New Roman"/>
        </w:rPr>
        <w:t xml:space="preserve">value of </w:t>
      </w:r>
      <w:r w:rsidR="00094747" w:rsidRPr="001B7A9A">
        <w:rPr>
          <w:rFonts w:eastAsia="Times New Roman"/>
        </w:rPr>
        <w:t xml:space="preserve">Pcmax, and the instantaneous headroom to that Pcmax. </w:t>
      </w:r>
      <w:r w:rsidR="004D6F7D" w:rsidRPr="001B7A9A">
        <w:rPr>
          <w:rFonts w:eastAsia="Times New Roman"/>
        </w:rPr>
        <w:t xml:space="preserve">Adding ∆Ppowerclass to this report would not bring any </w:t>
      </w:r>
      <w:r w:rsidR="00094747" w:rsidRPr="001B7A9A">
        <w:rPr>
          <w:rFonts w:eastAsia="Times New Roman"/>
        </w:rPr>
        <w:t>useful non-predictive information</w:t>
      </w:r>
      <w:r w:rsidR="004D6F7D" w:rsidRPr="001B7A9A">
        <w:rPr>
          <w:rFonts w:eastAsia="Times New Roman"/>
        </w:rPr>
        <w:t xml:space="preserve"> </w:t>
      </w:r>
      <w:r w:rsidR="00094747" w:rsidRPr="001B7A9A">
        <w:rPr>
          <w:rFonts w:eastAsia="Times New Roman"/>
        </w:rPr>
        <w:t>to the network. For example</w:t>
      </w:r>
      <w:r w:rsidR="004D6F7D" w:rsidRPr="001B7A9A">
        <w:rPr>
          <w:rFonts w:eastAsia="Times New Roman"/>
        </w:rPr>
        <w:t>,</w:t>
      </w:r>
      <w:r w:rsidR="00094747" w:rsidRPr="001B7A9A">
        <w:rPr>
          <w:rFonts w:eastAsia="Times New Roman"/>
        </w:rPr>
        <w:t xml:space="preserve"> a </w:t>
      </w:r>
      <w:r w:rsidR="004D6F7D" w:rsidRPr="001B7A9A">
        <w:rPr>
          <w:rFonts w:eastAsia="Times New Roman"/>
        </w:rPr>
        <w:t xml:space="preserve">fallback to default </w:t>
      </w:r>
      <w:r w:rsidR="00094747" w:rsidRPr="001B7A9A">
        <w:rPr>
          <w:rFonts w:eastAsia="Times New Roman"/>
        </w:rPr>
        <w:t xml:space="preserve">power class after passage of a time interval with estimated high RF exposure would </w:t>
      </w:r>
      <w:r w:rsidR="004D6F7D" w:rsidRPr="001B7A9A">
        <w:rPr>
          <w:rFonts w:eastAsia="Times New Roman"/>
        </w:rPr>
        <w:t xml:space="preserve">be reflected as a lower </w:t>
      </w:r>
      <w:r w:rsidR="00094747" w:rsidRPr="001B7A9A">
        <w:rPr>
          <w:rFonts w:eastAsia="Times New Roman"/>
        </w:rPr>
        <w:t>Pcmax</w:t>
      </w:r>
      <w:r w:rsidR="004D6F7D" w:rsidRPr="001B7A9A">
        <w:rPr>
          <w:rFonts w:eastAsia="Times New Roman"/>
        </w:rPr>
        <w:t xml:space="preserve"> value in the PHR</w:t>
      </w:r>
      <w:r w:rsidR="00094747" w:rsidRPr="001B7A9A">
        <w:rPr>
          <w:rFonts w:eastAsia="Times New Roman"/>
        </w:rPr>
        <w:t>,</w:t>
      </w:r>
      <w:r w:rsidR="004D6F7D" w:rsidRPr="001B7A9A">
        <w:rPr>
          <w:rFonts w:eastAsia="Times New Roman"/>
        </w:rPr>
        <w:t xml:space="preserve"> while a</w:t>
      </w:r>
      <w:r w:rsidR="00094747" w:rsidRPr="001B7A9A">
        <w:rPr>
          <w:rFonts w:eastAsia="Times New Roman"/>
        </w:rPr>
        <w:t xml:space="preserve"> report </w:t>
      </w:r>
      <w:r w:rsidR="004D6F7D" w:rsidRPr="001B7A9A">
        <w:rPr>
          <w:rFonts w:eastAsia="Times New Roman"/>
        </w:rPr>
        <w:t xml:space="preserve">informing </w:t>
      </w:r>
      <w:r w:rsidR="00094747" w:rsidRPr="001B7A9A">
        <w:rPr>
          <w:rFonts w:eastAsia="Times New Roman"/>
        </w:rPr>
        <w:t xml:space="preserve">the network that ∆Ppowerclass </w:t>
      </w:r>
      <w:r w:rsidR="004D6F7D" w:rsidRPr="001B7A9A">
        <w:rPr>
          <w:rFonts w:eastAsia="Times New Roman"/>
        </w:rPr>
        <w:t>of 3 dB is applicable conveys the same information</w:t>
      </w:r>
      <w:r w:rsidR="002724B1" w:rsidRPr="001B7A9A">
        <w:rPr>
          <w:rFonts w:eastAsia="Times New Roman"/>
        </w:rPr>
        <w:t xml:space="preserve"> </w:t>
      </w:r>
      <w:r w:rsidR="004D6F7D" w:rsidRPr="001B7A9A">
        <w:rPr>
          <w:rFonts w:eastAsia="Times New Roman"/>
        </w:rPr>
        <w:t>but is in fact less granular</w:t>
      </w:r>
      <w:r w:rsidR="00094747" w:rsidRPr="001B7A9A">
        <w:rPr>
          <w:rFonts w:eastAsia="Times New Roman"/>
        </w:rPr>
        <w:t xml:space="preserve">. </w:t>
      </w:r>
    </w:p>
    <w:tbl>
      <w:tblPr>
        <w:tblStyle w:val="TableGrid"/>
        <w:tblW w:w="0" w:type="auto"/>
        <w:tblLook w:val="04A0" w:firstRow="1" w:lastRow="0" w:firstColumn="1" w:lastColumn="0" w:noHBand="0" w:noVBand="1"/>
      </w:tblPr>
      <w:tblGrid>
        <w:gridCol w:w="9350"/>
      </w:tblGrid>
      <w:tr w:rsidR="006A48A7" w14:paraId="0317040D" w14:textId="77777777" w:rsidTr="006A48A7">
        <w:tc>
          <w:tcPr>
            <w:tcW w:w="9350" w:type="dxa"/>
          </w:tcPr>
          <w:p w14:paraId="5F05F864" w14:textId="0A632803" w:rsidR="006A48A7" w:rsidRDefault="006A48A7" w:rsidP="006A48A7">
            <w:pPr>
              <w:overflowPunct/>
              <w:autoSpaceDE/>
              <w:autoSpaceDN/>
              <w:adjustRightInd/>
              <w:spacing w:before="100" w:beforeAutospacing="1" w:after="100" w:afterAutospacing="1"/>
              <w:jc w:val="both"/>
              <w:textAlignment w:val="auto"/>
              <w:rPr>
                <w:rFonts w:eastAsia="Times New Roman"/>
                <w:strike/>
              </w:rPr>
            </w:pPr>
            <w:r w:rsidRPr="008B4038">
              <w:rPr>
                <w:rFonts w:eastAsia="Times New Roman"/>
                <w:b/>
                <w:bCs/>
              </w:rPr>
              <w:t>Observation</w:t>
            </w:r>
            <w:r w:rsidR="002A39E1">
              <w:rPr>
                <w:rFonts w:eastAsia="Times New Roman"/>
                <w:b/>
                <w:bCs/>
              </w:rPr>
              <w:t xml:space="preserve"> 1</w:t>
            </w:r>
            <w:r w:rsidR="00B912FF">
              <w:rPr>
                <w:rFonts w:eastAsia="Times New Roman"/>
                <w:b/>
                <w:bCs/>
              </w:rPr>
              <w:t>3</w:t>
            </w:r>
            <w:r w:rsidRPr="008B4038">
              <w:rPr>
                <w:rFonts w:eastAsia="Times New Roman"/>
                <w:b/>
                <w:bCs/>
              </w:rPr>
              <w:t>:</w:t>
            </w:r>
            <w:r w:rsidRPr="00094747">
              <w:rPr>
                <w:rFonts w:eastAsia="Times New Roman"/>
              </w:rPr>
              <w:t xml:space="preserve"> </w:t>
            </w:r>
            <w:r w:rsidR="00A5246F">
              <w:rPr>
                <w:rFonts w:eastAsia="Times New Roman"/>
              </w:rPr>
              <w:t xml:space="preserve">Reporting the current power class </w:t>
            </w:r>
            <w:r w:rsidRPr="00094747">
              <w:rPr>
                <w:rFonts w:eastAsia="Times New Roman"/>
              </w:rPr>
              <w:t xml:space="preserve">does not provide the network with any </w:t>
            </w:r>
            <w:r w:rsidR="006F202A">
              <w:rPr>
                <w:rFonts w:eastAsia="Times New Roman"/>
              </w:rPr>
              <w:t>actionable</w:t>
            </w:r>
            <w:r w:rsidRPr="00094747">
              <w:rPr>
                <w:rFonts w:eastAsia="Times New Roman"/>
              </w:rPr>
              <w:t xml:space="preserve"> information that would help </w:t>
            </w:r>
            <w:r w:rsidR="00637F1F">
              <w:rPr>
                <w:rFonts w:eastAsia="Times New Roman"/>
              </w:rPr>
              <w:t>the gNB to alter its future scheduling.</w:t>
            </w:r>
            <w:r>
              <w:rPr>
                <w:rFonts w:eastAsia="Times New Roman"/>
              </w:rPr>
              <w:t xml:space="preserve"> It is more useful for the network to know how long a UE is capable of operating at a certain power class</w:t>
            </w:r>
            <w:r w:rsidR="0031414C">
              <w:rPr>
                <w:rFonts w:eastAsia="Times New Roman"/>
              </w:rPr>
              <w:t xml:space="preserve"> or alternately, how long a power class fallback is likely to continue. </w:t>
            </w:r>
          </w:p>
        </w:tc>
      </w:tr>
    </w:tbl>
    <w:p w14:paraId="05683E93" w14:textId="5E992685" w:rsidR="0087105C" w:rsidRDefault="0087105C">
      <w:pPr>
        <w:overflowPunct/>
        <w:autoSpaceDE/>
        <w:autoSpaceDN/>
        <w:adjustRightInd/>
        <w:spacing w:before="100" w:beforeAutospacing="1" w:after="100" w:afterAutospacing="1"/>
        <w:jc w:val="both"/>
        <w:textAlignment w:val="auto"/>
        <w:rPr>
          <w:rFonts w:eastAsia="Times New Roman"/>
        </w:rPr>
      </w:pPr>
      <w:r w:rsidRPr="00321F1A">
        <w:rPr>
          <w:rFonts w:eastAsia="Times New Roman"/>
        </w:rPr>
        <w:t xml:space="preserve">Further, not all UEs may use the </w:t>
      </w:r>
      <w:r w:rsidR="003F7A15" w:rsidRPr="00321F1A">
        <w:rPr>
          <w:rFonts w:eastAsia="Times New Roman"/>
        </w:rPr>
        <w:t xml:space="preserve">power-class </w:t>
      </w:r>
      <w:r w:rsidRPr="00321F1A">
        <w:rPr>
          <w:rFonts w:eastAsia="Times New Roman"/>
        </w:rPr>
        <w:t>fallback mechanism</w:t>
      </w:r>
      <w:r w:rsidR="003F7A15" w:rsidRPr="00321F1A">
        <w:rPr>
          <w:rFonts w:eastAsia="Times New Roman"/>
        </w:rPr>
        <w:t xml:space="preserve">. </w:t>
      </w:r>
      <w:r w:rsidR="0098663B" w:rsidRPr="00321F1A">
        <w:rPr>
          <w:rFonts w:eastAsia="Times New Roman"/>
        </w:rPr>
        <w:t>P-MPR provides a</w:t>
      </w:r>
      <w:r w:rsidR="003F7A15" w:rsidRPr="00321F1A">
        <w:rPr>
          <w:rFonts w:eastAsia="Times New Roman"/>
        </w:rPr>
        <w:t xml:space="preserve"> more</w:t>
      </w:r>
      <w:r w:rsidR="0098663B" w:rsidRPr="00321F1A">
        <w:rPr>
          <w:rFonts w:eastAsia="Times New Roman"/>
        </w:rPr>
        <w:t xml:space="preserve"> nuanced approach to </w:t>
      </w:r>
      <w:r w:rsidR="003F7A15" w:rsidRPr="00321F1A">
        <w:rPr>
          <w:rFonts w:eastAsia="Times New Roman"/>
        </w:rPr>
        <w:t>handle uplink t</w:t>
      </w:r>
      <w:r w:rsidR="00875D9A">
        <w:rPr>
          <w:rFonts w:eastAsia="Times New Roman"/>
        </w:rPr>
        <w:t>ransmit</w:t>
      </w:r>
      <w:r w:rsidR="003F7A15" w:rsidRPr="00321F1A">
        <w:rPr>
          <w:rFonts w:eastAsia="Times New Roman"/>
        </w:rPr>
        <w:t xml:space="preserve"> power</w:t>
      </w:r>
      <w:r w:rsidR="0098663B" w:rsidRPr="00321F1A">
        <w:rPr>
          <w:rFonts w:eastAsia="Times New Roman"/>
        </w:rPr>
        <w:t xml:space="preserve">. A UE can use P-MPR to manage its ability to support a </w:t>
      </w:r>
      <w:r w:rsidR="00961AE6" w:rsidRPr="00321F1A">
        <w:rPr>
          <w:rFonts w:eastAsia="Times New Roman"/>
        </w:rPr>
        <w:t xml:space="preserve">certain duty </w:t>
      </w:r>
      <w:r w:rsidR="008D3734" w:rsidRPr="00321F1A">
        <w:rPr>
          <w:rFonts w:eastAsia="Times New Roman"/>
        </w:rPr>
        <w:t>cycle and</w:t>
      </w:r>
      <w:r w:rsidR="00961AE6" w:rsidRPr="00321F1A">
        <w:rPr>
          <w:rFonts w:eastAsia="Times New Roman"/>
        </w:rPr>
        <w:t xml:space="preserve"> avoid an abrupt change in power class.</w:t>
      </w:r>
      <w:r w:rsidR="00184BC4">
        <w:rPr>
          <w:rFonts w:eastAsia="Times New Roman"/>
        </w:rPr>
        <w:t xml:space="preserve"> </w:t>
      </w:r>
      <w:r w:rsidR="0006199C">
        <w:rPr>
          <w:rFonts w:eastAsia="Times New Roman"/>
        </w:rPr>
        <w:t xml:space="preserve">P-MPR </w:t>
      </w:r>
      <w:r w:rsidR="00184BC4">
        <w:rPr>
          <w:rFonts w:eastAsia="Times New Roman"/>
        </w:rPr>
        <w:t xml:space="preserve">may offer a more nuanced view of current state of UE transmitter compared to </w:t>
      </w:r>
      <w:r w:rsidR="007D2DFB" w:rsidRPr="00094747">
        <w:rPr>
          <w:rFonts w:eastAsia="Times New Roman"/>
        </w:rPr>
        <w:t>∆Ppowerclass</w:t>
      </w:r>
      <w:r w:rsidR="007D2DFB">
        <w:rPr>
          <w:rFonts w:eastAsia="Times New Roman"/>
        </w:rPr>
        <w:t xml:space="preserve">. </w:t>
      </w:r>
    </w:p>
    <w:p w14:paraId="1EAB93AA" w14:textId="42E62D15" w:rsidR="0082573C" w:rsidRDefault="0082573C">
      <w:pPr>
        <w:overflowPunct/>
        <w:autoSpaceDE/>
        <w:autoSpaceDN/>
        <w:adjustRightInd/>
        <w:spacing w:before="100" w:beforeAutospacing="1" w:after="100" w:afterAutospacing="1"/>
        <w:jc w:val="both"/>
        <w:textAlignment w:val="auto"/>
        <w:rPr>
          <w:rFonts w:eastAsia="Times New Roman"/>
        </w:rPr>
      </w:pPr>
      <w:r>
        <w:rPr>
          <w:rFonts w:eastAsia="Times New Roman"/>
        </w:rPr>
        <w:t>An actionable piece of information that might prove to be more valuable to the gNB</w:t>
      </w:r>
      <w:r w:rsidR="009F7216">
        <w:rPr>
          <w:rFonts w:eastAsia="Times New Roman"/>
        </w:rPr>
        <w:t xml:space="preserve"> </w:t>
      </w:r>
      <w:r w:rsidR="003B419E">
        <w:rPr>
          <w:rFonts w:eastAsia="Times New Roman"/>
        </w:rPr>
        <w:t xml:space="preserve">is to let the gNB know </w:t>
      </w:r>
      <w:r w:rsidR="002E7084">
        <w:rPr>
          <w:rFonts w:eastAsia="Times New Roman"/>
        </w:rPr>
        <w:t xml:space="preserve">the estimated duration for which a UE </w:t>
      </w:r>
      <w:r w:rsidR="005D42E7">
        <w:rPr>
          <w:rFonts w:eastAsia="Times New Roman"/>
        </w:rPr>
        <w:t xml:space="preserve">might </w:t>
      </w:r>
      <w:r w:rsidR="00903113">
        <w:rPr>
          <w:rFonts w:eastAsia="Times New Roman"/>
        </w:rPr>
        <w:t xml:space="preserve">continue to operate in the default power class mode. This can then be used by the gNB to tailor the grants to the UE </w:t>
      </w:r>
      <w:r w:rsidR="00232864">
        <w:rPr>
          <w:rFonts w:eastAsia="Times New Roman"/>
        </w:rPr>
        <w:t xml:space="preserve">to either avoid this state or to plan to engage with the UE in this reduced capability state. </w:t>
      </w:r>
      <w:r w:rsidR="00E131A6">
        <w:rPr>
          <w:rFonts w:eastAsia="Times New Roman"/>
        </w:rPr>
        <w:t xml:space="preserve">Alternately, the UE can be asked to report the </w:t>
      </w:r>
      <w:r w:rsidR="003B419E">
        <w:rPr>
          <w:rFonts w:eastAsia="Times New Roman"/>
        </w:rPr>
        <w:t xml:space="preserve">duty cycle that </w:t>
      </w:r>
      <w:r w:rsidR="00E131A6">
        <w:rPr>
          <w:rFonts w:eastAsia="Times New Roman"/>
        </w:rPr>
        <w:t>it</w:t>
      </w:r>
      <w:r w:rsidR="003B419E">
        <w:rPr>
          <w:rFonts w:eastAsia="Times New Roman"/>
        </w:rPr>
        <w:t xml:space="preserve"> is able to sustain so as to prevent triggering a power class fallback. </w:t>
      </w:r>
      <w:r w:rsidR="001321E7">
        <w:rPr>
          <w:rFonts w:eastAsia="Times New Roman"/>
        </w:rPr>
        <w:t xml:space="preserve">gNB can then take appropriate action to either prevent a fallback or be prepared for a fallback in case duty cycle requirements cannot be met. </w:t>
      </w:r>
      <w:r w:rsidR="00426E43">
        <w:rPr>
          <w:rFonts w:eastAsia="Times New Roman"/>
        </w:rPr>
        <w:t>We make the following proposal:</w:t>
      </w:r>
    </w:p>
    <w:tbl>
      <w:tblPr>
        <w:tblStyle w:val="TableGrid"/>
        <w:tblW w:w="0" w:type="auto"/>
        <w:tblLook w:val="04A0" w:firstRow="1" w:lastRow="0" w:firstColumn="1" w:lastColumn="0" w:noHBand="0" w:noVBand="1"/>
      </w:tblPr>
      <w:tblGrid>
        <w:gridCol w:w="9350"/>
      </w:tblGrid>
      <w:tr w:rsidR="00725B7B" w14:paraId="301B7207" w14:textId="77777777" w:rsidTr="00725B7B">
        <w:tc>
          <w:tcPr>
            <w:tcW w:w="9350" w:type="dxa"/>
          </w:tcPr>
          <w:p w14:paraId="268C0AAC" w14:textId="765A03E9" w:rsidR="00A007DF" w:rsidRDefault="00725B7B" w:rsidP="00A007DF">
            <w:pPr>
              <w:overflowPunct/>
              <w:autoSpaceDE/>
              <w:autoSpaceDN/>
              <w:adjustRightInd/>
              <w:spacing w:before="100" w:beforeAutospacing="1" w:after="100" w:afterAutospacing="1"/>
              <w:jc w:val="both"/>
              <w:textAlignment w:val="auto"/>
              <w:rPr>
                <w:rFonts w:eastAsia="Times New Roman"/>
              </w:rPr>
            </w:pPr>
            <w:r w:rsidRPr="008B4038">
              <w:rPr>
                <w:rFonts w:eastAsia="Times New Roman"/>
                <w:b/>
                <w:bCs/>
              </w:rPr>
              <w:t>Proposal</w:t>
            </w:r>
            <w:r w:rsidR="002A39E1">
              <w:rPr>
                <w:rFonts w:eastAsia="Times New Roman"/>
                <w:b/>
                <w:bCs/>
              </w:rPr>
              <w:t xml:space="preserve"> </w:t>
            </w:r>
            <w:r w:rsidR="00B651B7">
              <w:rPr>
                <w:rFonts w:eastAsia="Times New Roman"/>
                <w:b/>
                <w:bCs/>
              </w:rPr>
              <w:t>1</w:t>
            </w:r>
            <w:r w:rsidR="0074382A">
              <w:rPr>
                <w:rFonts w:eastAsia="Times New Roman"/>
                <w:b/>
                <w:bCs/>
              </w:rPr>
              <w:t>2</w:t>
            </w:r>
            <w:r w:rsidRPr="008B4038">
              <w:rPr>
                <w:rFonts w:eastAsia="Times New Roman"/>
                <w:b/>
                <w:bCs/>
              </w:rPr>
              <w:t>:</w:t>
            </w:r>
            <w:r>
              <w:rPr>
                <w:rFonts w:eastAsia="Times New Roman"/>
              </w:rPr>
              <w:t xml:space="preserve"> </w:t>
            </w:r>
            <w:r w:rsidR="00C70841">
              <w:rPr>
                <w:rFonts w:eastAsia="Times New Roman"/>
              </w:rPr>
              <w:t xml:space="preserve">To facilitate better understanding at </w:t>
            </w:r>
            <w:r w:rsidR="00364284">
              <w:rPr>
                <w:rFonts w:eastAsia="Times New Roman"/>
              </w:rPr>
              <w:t xml:space="preserve">the </w:t>
            </w:r>
            <w:r w:rsidR="00C70841">
              <w:rPr>
                <w:rFonts w:eastAsia="Times New Roman"/>
              </w:rPr>
              <w:t>gNB of UE’s operations in relation to power class fallback, con</w:t>
            </w:r>
            <w:r>
              <w:rPr>
                <w:rFonts w:eastAsia="Times New Roman"/>
              </w:rPr>
              <w:t xml:space="preserve">sider introducing </w:t>
            </w:r>
            <w:r w:rsidR="00CC55A9">
              <w:rPr>
                <w:rFonts w:eastAsia="Times New Roman"/>
              </w:rPr>
              <w:t xml:space="preserve">a </w:t>
            </w:r>
            <w:r w:rsidR="00B07C82">
              <w:rPr>
                <w:rFonts w:eastAsia="Times New Roman"/>
              </w:rPr>
              <w:t xml:space="preserve">power class indicator </w:t>
            </w:r>
            <w:r w:rsidR="00E305C6">
              <w:rPr>
                <w:rFonts w:eastAsia="Times New Roman"/>
              </w:rPr>
              <w:t xml:space="preserve">along with additional </w:t>
            </w:r>
            <w:r w:rsidR="00BC5CEF">
              <w:rPr>
                <w:rFonts w:eastAsia="Times New Roman"/>
              </w:rPr>
              <w:t>signalling</w:t>
            </w:r>
            <w:r>
              <w:rPr>
                <w:rFonts w:eastAsia="Times New Roman"/>
              </w:rPr>
              <w:t xml:space="preserve"> to </w:t>
            </w:r>
          </w:p>
          <w:p w14:paraId="7A94FEF7" w14:textId="28562DD7" w:rsidR="008A32A8" w:rsidRPr="00A007DF" w:rsidRDefault="004957C4"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rPr>
            </w:pPr>
            <w:r>
              <w:rPr>
                <w:rFonts w:eastAsia="Times New Roman"/>
              </w:rPr>
              <w:t>i</w:t>
            </w:r>
            <w:r w:rsidR="008A32A8" w:rsidRPr="00A007DF">
              <w:rPr>
                <w:rFonts w:eastAsia="Times New Roman"/>
              </w:rPr>
              <w:t>ndicate the estimat</w:t>
            </w:r>
            <w:r w:rsidR="00D5692C">
              <w:rPr>
                <w:rFonts w:eastAsia="Times New Roman"/>
              </w:rPr>
              <w:t>ed</w:t>
            </w:r>
            <w:r w:rsidR="008A32A8" w:rsidRPr="00A007DF">
              <w:rPr>
                <w:rFonts w:eastAsia="Times New Roman"/>
              </w:rPr>
              <w:t xml:space="preserve"> duration of power class fallback</w:t>
            </w:r>
            <w:r w:rsidR="00737CBF">
              <w:rPr>
                <w:rFonts w:eastAsia="Times New Roman"/>
              </w:rPr>
              <w:t xml:space="preserve"> </w:t>
            </w:r>
            <w:r w:rsidR="009328F7">
              <w:rPr>
                <w:rFonts w:eastAsia="Times New Roman"/>
              </w:rPr>
              <w:t>(</w:t>
            </w:r>
            <w:r w:rsidR="00737CBF">
              <w:rPr>
                <w:rFonts w:eastAsia="Times New Roman"/>
              </w:rPr>
              <w:t>for a UE operating at a lower power class</w:t>
            </w:r>
            <w:r w:rsidR="009328F7">
              <w:rPr>
                <w:rFonts w:eastAsia="Times New Roman"/>
              </w:rPr>
              <w:t>)</w:t>
            </w:r>
            <w:r w:rsidR="00A007DF" w:rsidRPr="00A007DF">
              <w:rPr>
                <w:rFonts w:eastAsia="Times New Roman"/>
              </w:rPr>
              <w:t>,</w:t>
            </w:r>
            <w:r w:rsidR="00603A6C">
              <w:rPr>
                <w:rFonts w:eastAsia="Times New Roman"/>
              </w:rPr>
              <w:t xml:space="preserve"> </w:t>
            </w:r>
            <w:r w:rsidR="00A007DF" w:rsidRPr="00A007DF">
              <w:rPr>
                <w:rFonts w:eastAsia="Times New Roman"/>
              </w:rPr>
              <w:t>or</w:t>
            </w:r>
            <w:r>
              <w:rPr>
                <w:rFonts w:eastAsia="Times New Roman"/>
              </w:rPr>
              <w:t xml:space="preserve"> to</w:t>
            </w:r>
            <w:r w:rsidR="0036611E">
              <w:rPr>
                <w:rFonts w:eastAsia="Times New Roman"/>
              </w:rPr>
              <w:t xml:space="preserve"> </w:t>
            </w:r>
          </w:p>
          <w:p w14:paraId="1585264F" w14:textId="78CAFEC1" w:rsidR="00725B7B" w:rsidRPr="00737CBF" w:rsidRDefault="00725B7B"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rPr>
            </w:pPr>
            <w:r w:rsidRPr="00737CBF">
              <w:rPr>
                <w:rFonts w:eastAsia="Times New Roman"/>
              </w:rPr>
              <w:lastRenderedPageBreak/>
              <w:t xml:space="preserve">indicate the </w:t>
            </w:r>
            <w:r w:rsidR="00F330BC">
              <w:rPr>
                <w:rFonts w:eastAsia="Times New Roman"/>
              </w:rPr>
              <w:t xml:space="preserve">maximum </w:t>
            </w:r>
            <w:r w:rsidRPr="00737CBF">
              <w:rPr>
                <w:rFonts w:eastAsia="Times New Roman"/>
              </w:rPr>
              <w:t>duty cycle over a certain duration that</w:t>
            </w:r>
            <w:r w:rsidR="00DA1507">
              <w:rPr>
                <w:rFonts w:eastAsia="Times New Roman"/>
              </w:rPr>
              <w:t xml:space="preserve"> a UE is able to support without </w:t>
            </w:r>
            <w:r w:rsidRPr="00737CBF">
              <w:rPr>
                <w:rFonts w:eastAsia="Times New Roman"/>
              </w:rPr>
              <w:t>triggering a power</w:t>
            </w:r>
            <w:r w:rsidR="00A70584" w:rsidRPr="00737CBF">
              <w:rPr>
                <w:rFonts w:eastAsia="Times New Roman"/>
              </w:rPr>
              <w:t xml:space="preserve"> </w:t>
            </w:r>
            <w:r w:rsidRPr="00737CBF">
              <w:rPr>
                <w:rFonts w:eastAsia="Times New Roman"/>
              </w:rPr>
              <w:t>class fallback</w:t>
            </w:r>
            <w:r w:rsidR="00A54DF1">
              <w:rPr>
                <w:rFonts w:eastAsia="Times New Roman"/>
              </w:rPr>
              <w:t xml:space="preserve"> (for a UE operating at a higher power class)</w:t>
            </w:r>
          </w:p>
        </w:tc>
      </w:tr>
    </w:tbl>
    <w:p w14:paraId="3DDC9FF2" w14:textId="77777777" w:rsidR="00094747" w:rsidRPr="002564F2" w:rsidRDefault="00094747" w:rsidP="00321F1A">
      <w:pPr>
        <w:rPr>
          <w:lang w:eastAsia="zh-CN"/>
        </w:rPr>
      </w:pPr>
    </w:p>
    <w:p w14:paraId="139ED357" w14:textId="099BCAA0" w:rsidR="00D829DC" w:rsidRDefault="00726EBB">
      <w:pPr>
        <w:pStyle w:val="Heading2"/>
        <w:rPr>
          <w:lang w:eastAsia="zh-CN"/>
        </w:rPr>
      </w:pPr>
      <w:r>
        <w:rPr>
          <w:lang w:val="en-US" w:eastAsia="zh-CN"/>
        </w:rPr>
        <w:t xml:space="preserve">P-MPR Allowance --- </w:t>
      </w:r>
      <w:r w:rsidR="000C4BD6" w:rsidRPr="004A1663">
        <w:rPr>
          <w:lang w:val="en-US" w:eastAsia="zh-CN"/>
        </w:rPr>
        <w:t>Increas</w:t>
      </w:r>
      <w:r>
        <w:rPr>
          <w:lang w:val="en-US" w:eastAsia="zh-CN"/>
        </w:rPr>
        <w:t>ing</w:t>
      </w:r>
      <w:r w:rsidR="000C4BD6" w:rsidRPr="004A1663">
        <w:rPr>
          <w:lang w:val="en-US" w:eastAsia="zh-CN"/>
        </w:rPr>
        <w:t xml:space="preserve"> awareness of power availability at the UE</w:t>
      </w:r>
      <w:r w:rsidR="000C4BD6" w:rsidDel="000C4BD6">
        <w:rPr>
          <w:lang w:eastAsia="zh-CN"/>
        </w:rPr>
        <w:t xml:space="preserve"> </w:t>
      </w:r>
    </w:p>
    <w:p w14:paraId="0C2808E3" w14:textId="77777777" w:rsidR="00023018" w:rsidRDefault="00023018" w:rsidP="00023018">
      <w:pPr>
        <w:pStyle w:val="Heading3"/>
        <w:rPr>
          <w:lang w:eastAsia="zh-CN"/>
        </w:rPr>
      </w:pPr>
      <w:r>
        <w:rPr>
          <w:lang w:eastAsia="zh-CN"/>
        </w:rPr>
        <w:t>RF Exposure Basics: SAR and PD</w:t>
      </w:r>
    </w:p>
    <w:p w14:paraId="76E99E06" w14:textId="77777777" w:rsidR="00023018" w:rsidRDefault="00023018" w:rsidP="00023018">
      <w:pPr>
        <w:jc w:val="both"/>
        <w:rPr>
          <w:lang w:val="en-GB" w:eastAsia="zh-CN"/>
        </w:rPr>
      </w:pPr>
      <w:r>
        <w:rPr>
          <w:lang w:val="en-GB" w:eastAsia="zh-CN"/>
        </w:rPr>
        <w:t xml:space="preserve">A UE has to conform to certain regulatory requirements that govern the total RF exposure experienced by a user. RF exposure is categorized into two main categories. The first is called specific absorption rate (SAR) that applies to all RF exposure that occurs below 6 GHz and the other is called power density (PD) that applies to all RF exposure that occurs above 6 GHz. SAR is measured in units of Watts/kg and is intended to monitor the amount of power absorbed by a certain volume of tissue. PD is measured in </w:t>
      </w:r>
      <m:oMath>
        <m:r>
          <w:rPr>
            <w:rFonts w:ascii="Cambria Math" w:hAnsi="Cambria Math"/>
            <w:lang w:val="en-GB" w:eastAsia="zh-CN"/>
          </w:rPr>
          <m:t>Watts/c</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2</m:t>
            </m:r>
          </m:sup>
        </m:sSup>
      </m:oMath>
      <w:r>
        <w:rPr>
          <w:lang w:val="en-GB" w:eastAsia="zh-CN"/>
        </w:rPr>
        <w:t xml:space="preserve"> and is intended to monitor the amount of power incident on the surface of the tissue. </w:t>
      </w:r>
    </w:p>
    <w:p w14:paraId="7B604E86" w14:textId="77777777" w:rsidR="00023018" w:rsidRDefault="00023018" w:rsidP="00023018">
      <w:pPr>
        <w:jc w:val="both"/>
        <w:rPr>
          <w:lang w:eastAsia="zh-CN"/>
        </w:rPr>
      </w:pPr>
      <w:r>
        <w:rPr>
          <w:lang w:eastAsia="zh-CN"/>
        </w:rPr>
        <w:t>SAR is used as the metric for the RF exposure when considering sub-6 GHz bands, while power density is used as a metric to address exposure from mmW bands. International Commission on Non-Ionizing Radiation Protection (ICNIRP) and FCC place restrictions on the maximum permissible exposure (MPE) on human body. However, the limit on SAR and PD cannot be counted separately. The individual SAR and PD values are normalized by the respectively regulatory limits and this normalized sum is required to be less than 1 as seen in the equation below:</w:t>
      </w:r>
      <w:r w:rsidDel="00394D88">
        <w:rPr>
          <w:lang w:eastAsia="zh-CN"/>
        </w:rPr>
        <w:t xml:space="preserve"> </w:t>
      </w:r>
    </w:p>
    <w:p w14:paraId="38B165A3" w14:textId="77777777" w:rsidR="00023018" w:rsidRPr="00394D88" w:rsidRDefault="00FD42FA" w:rsidP="00023018">
      <w:pPr>
        <w:rPr>
          <w:lang w:eastAsia="zh-CN"/>
        </w:rPr>
      </w:pPr>
      <m:oMathPara>
        <m:oMathParaPr>
          <m:jc m:val="centerGroup"/>
        </m:oMathParaPr>
        <m:oMath>
          <m:nary>
            <m:naryPr>
              <m:chr m:val="∑"/>
              <m:ctrlPr>
                <w:rPr>
                  <w:rFonts w:ascii="Cambria Math" w:hAnsi="Cambria Math"/>
                  <w:i/>
                  <w:iCs/>
                  <w:lang w:eastAsia="zh-CN"/>
                </w:rPr>
              </m:ctrlPr>
            </m:naryPr>
            <m:sub>
              <m:r>
                <w:rPr>
                  <w:rFonts w:ascii="Cambria Math" w:hAnsi="Cambria Math"/>
                  <w:lang w:eastAsia="zh-CN"/>
                </w:rPr>
                <m:t>i=100 kHz</m:t>
              </m:r>
            </m:sub>
            <m:sup>
              <m:r>
                <w:rPr>
                  <w:rFonts w:ascii="Cambria Math" w:hAnsi="Cambria Math"/>
                  <w:lang w:eastAsia="zh-CN"/>
                </w:rPr>
                <m:t>6 GHz</m:t>
              </m:r>
            </m:sup>
            <m:e>
              <m:f>
                <m:fPr>
                  <m:ctrlPr>
                    <w:rPr>
                      <w:rFonts w:ascii="Cambria Math" w:hAnsi="Cambria Math"/>
                      <w:i/>
                      <w:iCs/>
                      <w:lang w:eastAsia="zh-CN"/>
                    </w:rPr>
                  </m:ctrlPr>
                </m:fPr>
                <m:num>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i</m:t>
                      </m:r>
                    </m:sub>
                  </m:sSub>
                </m:num>
                <m:den>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m:rPr>
                          <m:sty m:val="p"/>
                        </m:rPr>
                        <w:rPr>
                          <w:rFonts w:ascii="Cambria Math" w:hAnsi="Cambria Math"/>
                          <w:lang w:eastAsia="zh-CN"/>
                        </w:rPr>
                        <m:t>lim</m:t>
                      </m:r>
                    </m:sub>
                  </m:sSub>
                </m:den>
              </m:f>
              <m:r>
                <w:rPr>
                  <w:rFonts w:ascii="Cambria Math" w:hAnsi="Cambria Math"/>
                  <w:lang w:eastAsia="zh-CN"/>
                </w:rPr>
                <m:t>⁡</m:t>
              </m:r>
            </m:e>
          </m:nary>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j=6 GHz</m:t>
              </m:r>
            </m:sub>
            <m:sup>
              <m:r>
                <w:rPr>
                  <w:rFonts w:ascii="Cambria Math" w:hAnsi="Cambria Math"/>
                  <w:lang w:eastAsia="zh-CN"/>
                </w:rPr>
                <m:t>300 GHz</m:t>
              </m:r>
            </m:sup>
            <m:e>
              <m:f>
                <m:fPr>
                  <m:ctrlPr>
                    <w:rPr>
                      <w:rFonts w:ascii="Cambria Math" w:hAnsi="Cambria Math"/>
                      <w:i/>
                      <w:iCs/>
                      <w:lang w:eastAsia="zh-CN"/>
                    </w:rPr>
                  </m:ctrlPr>
                </m:fPr>
                <m:num>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j</m:t>
                      </m:r>
                    </m:sub>
                  </m:sSub>
                </m:num>
                <m:den>
                  <m:sSub>
                    <m:sSubPr>
                      <m:ctrlPr>
                        <w:rPr>
                          <w:rFonts w:ascii="Cambria Math" w:hAnsi="Cambria Math"/>
                          <w:i/>
                          <w:iCs/>
                          <w:lang w:eastAsia="zh-CN"/>
                        </w:rPr>
                      </m:ctrlPr>
                    </m:sSubPr>
                    <m:e>
                      <m:r>
                        <w:rPr>
                          <w:rFonts w:ascii="Cambria Math" w:hAnsi="Cambria Math"/>
                          <w:lang w:eastAsia="zh-CN"/>
                        </w:rPr>
                        <m:t>PD</m:t>
                      </m:r>
                    </m:e>
                    <m:sub>
                      <m:r>
                        <m:rPr>
                          <m:sty m:val="p"/>
                        </m:rPr>
                        <w:rPr>
                          <w:rFonts w:ascii="Cambria Math" w:hAnsi="Cambria Math"/>
                          <w:lang w:eastAsia="zh-CN"/>
                        </w:rPr>
                        <m:t>lim</m:t>
                      </m:r>
                    </m:sub>
                  </m:sSub>
                </m:den>
              </m:f>
            </m:e>
          </m:nary>
          <m:r>
            <w:rPr>
              <w:rFonts w:ascii="Cambria Math" w:hAnsi="Cambria Math"/>
              <w:lang w:eastAsia="zh-CN"/>
            </w:rPr>
            <m:t> ≤ 1</m:t>
          </m:r>
        </m:oMath>
      </m:oMathPara>
    </w:p>
    <w:p w14:paraId="0894FAE8" w14:textId="77777777" w:rsidR="00023018" w:rsidRPr="00200CA5" w:rsidRDefault="00023018" w:rsidP="00023018">
      <w:pPr>
        <w:rPr>
          <w:lang w:eastAsia="zh-CN"/>
        </w:rPr>
      </w:pPr>
      <w:r>
        <w:rPr>
          <w:lang w:eastAsia="zh-CN"/>
        </w:rPr>
        <w:t xml:space="preserve">In the above equation,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oMath>
      <w:r>
        <w:rPr>
          <w:lang w:eastAsia="zh-CN"/>
        </w:rPr>
        <w:t xml:space="preserve"> refers to the time-averaged SAR in an RF band </w:t>
      </w:r>
      <m:oMath>
        <m:r>
          <w:rPr>
            <w:rFonts w:ascii="Cambria Math" w:hAnsi="Cambria Math"/>
            <w:lang w:eastAsia="zh-CN"/>
          </w:rPr>
          <m:t>i</m:t>
        </m:r>
      </m:oMath>
      <w:r>
        <w:rPr>
          <w:lang w:eastAsia="zh-CN"/>
        </w:rPr>
        <w:t xml:space="preserve"> and is given by </w:t>
      </w:r>
    </w:p>
    <w:p w14:paraId="566A3DD8" w14:textId="77777777" w:rsidR="00023018" w:rsidRPr="005B6D9D" w:rsidRDefault="00023018" w:rsidP="00023018">
      <w:pPr>
        <w:rPr>
          <w:lang w:eastAsia="zh-CN"/>
        </w:rPr>
      </w:pPr>
      <m:oMathPara>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sub>
            <m:sup>
              <m:r>
                <w:rPr>
                  <w:rFonts w:ascii="Cambria Math" w:hAnsi="Cambria Math"/>
                  <w:lang w:eastAsia="zh-CN"/>
                </w:rPr>
                <m:t>t</m:t>
              </m:r>
            </m:sup>
            <m:e>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44D35DB6" w14:textId="77777777" w:rsidR="00023018" w:rsidRDefault="00023018" w:rsidP="00023018">
      <w:pPr>
        <w:rPr>
          <w:lang w:eastAsia="zh-CN"/>
        </w:rPr>
      </w:pPr>
      <w:r>
        <w:rPr>
          <w:lang w:eastAsia="zh-CN"/>
        </w:rPr>
        <w:t xml:space="preserve">where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(τ)</m:t>
        </m:r>
      </m:oMath>
      <w:r>
        <w:rPr>
          <w:lang w:eastAsia="zh-CN"/>
        </w:rPr>
        <w:t xml:space="preserve"> is the instantaneous SAR in band </w:t>
      </w:r>
      <m:oMath>
        <m:r>
          <w:rPr>
            <w:rFonts w:ascii="Cambria Math" w:hAnsi="Cambria Math"/>
            <w:lang w:eastAsia="zh-CN"/>
          </w:rPr>
          <m:t>i</m:t>
        </m:r>
      </m:oMath>
      <w:r>
        <w:rPr>
          <w:lang w:eastAsia="zh-CN"/>
        </w:rPr>
        <w:t xml:space="preserve">. Similarly,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j</m:t>
            </m:r>
          </m:sub>
        </m:sSub>
      </m:oMath>
      <w:r>
        <w:rPr>
          <w:lang w:eastAsia="zh-CN"/>
        </w:rPr>
        <w:t xml:space="preserve"> refers to the time-averaged PD in band </w:t>
      </w:r>
      <m:oMath>
        <m:r>
          <w:rPr>
            <w:rFonts w:ascii="Cambria Math" w:hAnsi="Cambria Math"/>
            <w:lang w:eastAsia="zh-CN"/>
          </w:rPr>
          <m:t>j</m:t>
        </m:r>
      </m:oMath>
      <w:r>
        <w:rPr>
          <w:lang w:eastAsia="zh-CN"/>
        </w:rPr>
        <w:t xml:space="preserve"> and is given by</w:t>
      </w:r>
    </w:p>
    <w:p w14:paraId="7BBEEB93" w14:textId="77777777" w:rsidR="00023018" w:rsidRPr="00A963A8" w:rsidRDefault="00FD42FA" w:rsidP="00023018">
      <w:pPr>
        <w:rPr>
          <w:lang w:eastAsia="zh-CN"/>
        </w:rPr>
      </w:pPr>
      <m:oMathPara>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sub>
            <m:sup>
              <m:r>
                <w:rPr>
                  <w:rFonts w:ascii="Cambria Math" w:hAnsi="Cambria Math"/>
                  <w:lang w:eastAsia="zh-CN"/>
                </w:rPr>
                <m:t>t</m:t>
              </m:r>
            </m:sup>
            <m:e>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66606C26" w14:textId="77777777" w:rsidR="00023018" w:rsidRDefault="00023018" w:rsidP="00023018">
      <w:pPr>
        <w:jc w:val="both"/>
        <w:rPr>
          <w:lang w:eastAsia="zh-CN"/>
        </w:rPr>
      </w:pPr>
      <w:r>
        <w:rPr>
          <w:lang w:eastAsia="zh-CN"/>
        </w:rPr>
        <w:t xml:space="preserve">where </w:t>
      </w:r>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(τ)</m:t>
        </m:r>
      </m:oMath>
      <w:r>
        <w:rPr>
          <w:lang w:eastAsia="zh-CN"/>
        </w:rPr>
        <w:t xml:space="preserve"> is the instantaneous PD in band </w:t>
      </w:r>
      <m:oMath>
        <m:r>
          <w:rPr>
            <w:rFonts w:ascii="Cambria Math" w:hAnsi="Cambria Math"/>
            <w:lang w:eastAsia="zh-CN"/>
          </w:rPr>
          <m:t>j.</m:t>
        </m:r>
      </m:oMath>
      <w:r>
        <w:rPr>
          <w:lang w:eastAsia="zh-CN"/>
        </w:rPr>
        <w:t xml:space="preserve"> Note that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oMath>
      <w:r>
        <w:rPr>
          <w:lang w:eastAsia="zh-CN"/>
        </w:rPr>
        <w:t xml:space="preserve"> are the respective time windows for averaging.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m:t>
        </m:r>
      </m:oMath>
      <w:r>
        <w:rPr>
          <w:lang w:eastAsia="zh-CN"/>
        </w:rPr>
        <w:t xml:space="preserve"> is the total regulatory limit for SAR, and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lim</m:t>
            </m:r>
          </m:sub>
        </m:sSub>
        <m:r>
          <w:rPr>
            <w:rFonts w:ascii="Cambria Math" w:hAnsi="Cambria Math"/>
            <w:lang w:eastAsia="zh-CN"/>
          </w:rPr>
          <m:t>⁡</m:t>
        </m:r>
      </m:oMath>
      <w:r>
        <w:rPr>
          <w:lang w:eastAsia="zh-CN"/>
        </w:rPr>
        <w:t xml:space="preserve"> is the total regulatory limit for PD. SAR and PD calculations should include transmission across all frequencies and technologies (Wi-Fi, Bluetooth, etc). PD is typically measured over a </w:t>
      </w:r>
      <m:oMath>
        <m:r>
          <w:rPr>
            <w:rFonts w:ascii="Cambria Math" w:hAnsi="Cambria Math"/>
            <w:lang w:eastAsia="zh-CN"/>
          </w:rPr>
          <m:t>4 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Pr>
          <w:lang w:eastAsia="zh-CN"/>
        </w:rPr>
        <w:t xml:space="preserve"> area and is limited to </w:t>
      </w:r>
      <m:oMath>
        <m:r>
          <w:rPr>
            <w:rFonts w:ascii="Cambria Math" w:hAnsi="Cambria Math"/>
            <w:lang w:eastAsia="zh-CN"/>
          </w:rPr>
          <m:t>1 mW/c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Pr>
          <w:lang w:eastAsia="zh-CN"/>
        </w:rPr>
        <w:t xml:space="preserve"> over a time averaging window of 4 seconds (this is applicable to frequencies between 24 GHz to 42 GHz). SAR is typically limited to 1.6 W/kg measured over 1g of tissue and is averaged over a window of 360 seconds. Some of the above measurement criteria may differ from one region to another and the numbers indicated above are meant to be representative.</w:t>
      </w:r>
    </w:p>
    <w:p w14:paraId="1C21D07D" w14:textId="0E8E09AE" w:rsidR="00023018" w:rsidRDefault="00023018" w:rsidP="00023018">
      <w:pPr>
        <w:jc w:val="both"/>
        <w:rPr>
          <w:lang w:eastAsia="zh-CN"/>
        </w:rPr>
      </w:pPr>
      <w:r>
        <w:rPr>
          <w:lang w:eastAsia="zh-CN"/>
        </w:rPr>
        <w:t xml:space="preserve">Time averaging is a rather important aspect of complying with RF exposure limits. A UE’s transmissions are constantly </w:t>
      </w:r>
      <w:r w:rsidR="00F40F25">
        <w:rPr>
          <w:lang w:eastAsia="zh-CN"/>
        </w:rPr>
        <w:t>monitored,</w:t>
      </w:r>
      <w:r>
        <w:rPr>
          <w:lang w:eastAsia="zh-CN"/>
        </w:rPr>
        <w:t xml:space="preserve"> and a sliding window is used for computing the amount of RF exposure incurred within a certain time window and the the amount of RF exposure that can be allowed for a set of upcoming slots. </w:t>
      </w:r>
    </w:p>
    <w:tbl>
      <w:tblPr>
        <w:tblStyle w:val="TableGrid"/>
        <w:tblW w:w="0" w:type="auto"/>
        <w:tblLook w:val="04A0" w:firstRow="1" w:lastRow="0" w:firstColumn="1" w:lastColumn="0" w:noHBand="0" w:noVBand="1"/>
      </w:tblPr>
      <w:tblGrid>
        <w:gridCol w:w="9350"/>
      </w:tblGrid>
      <w:tr w:rsidR="00023018" w14:paraId="5E4EED85" w14:textId="77777777" w:rsidTr="00543BFF">
        <w:tc>
          <w:tcPr>
            <w:tcW w:w="9350" w:type="dxa"/>
          </w:tcPr>
          <w:p w14:paraId="5848075A" w14:textId="1079D29D" w:rsidR="00023018" w:rsidRDefault="00023018" w:rsidP="00543BFF">
            <w:pPr>
              <w:jc w:val="both"/>
              <w:rPr>
                <w:lang w:eastAsia="zh-CN"/>
              </w:rPr>
            </w:pPr>
            <w:r w:rsidRPr="00B87DE4">
              <w:rPr>
                <w:b/>
                <w:bCs/>
                <w:lang w:eastAsia="zh-CN"/>
              </w:rPr>
              <w:t>Observation</w:t>
            </w:r>
            <w:r>
              <w:rPr>
                <w:b/>
                <w:bCs/>
                <w:lang w:eastAsia="zh-CN"/>
              </w:rPr>
              <w:t xml:space="preserve"> 1</w:t>
            </w:r>
            <w:r w:rsidR="00A82A3C">
              <w:rPr>
                <w:b/>
                <w:bCs/>
                <w:lang w:eastAsia="zh-CN"/>
              </w:rPr>
              <w:t>4</w:t>
            </w:r>
            <w:r w:rsidRPr="00B87DE4">
              <w:rPr>
                <w:b/>
                <w:bCs/>
                <w:lang w:eastAsia="zh-CN"/>
              </w:rPr>
              <w:t>:</w:t>
            </w:r>
            <w:r>
              <w:rPr>
                <w:lang w:eastAsia="zh-CN"/>
              </w:rPr>
              <w:t xml:space="preserve"> Regulatory constraints on RF exposure are determined by time-averaged RF exposure and not by instantaneous RF exposure.</w:t>
            </w:r>
          </w:p>
        </w:tc>
      </w:tr>
    </w:tbl>
    <w:p w14:paraId="14FB01C1" w14:textId="77777777" w:rsidR="00023018" w:rsidRDefault="00023018" w:rsidP="00023018">
      <w:pPr>
        <w:jc w:val="both"/>
        <w:rPr>
          <w:lang w:eastAsia="zh-CN"/>
        </w:rPr>
      </w:pPr>
    </w:p>
    <w:p w14:paraId="7C7EF4F1" w14:textId="12D87DBA" w:rsidR="00023018" w:rsidRDefault="00023018" w:rsidP="00023018">
      <w:pPr>
        <w:jc w:val="both"/>
        <w:rPr>
          <w:lang w:eastAsia="zh-CN"/>
        </w:rPr>
      </w:pPr>
      <w:r>
        <w:rPr>
          <w:lang w:eastAsia="zh-CN"/>
        </w:rPr>
        <w:t xml:space="preserve">This is illustrated in </w:t>
      </w:r>
      <w:r>
        <w:rPr>
          <w:lang w:eastAsia="zh-CN"/>
        </w:rPr>
        <w:fldChar w:fldCharType="begin"/>
      </w:r>
      <w:r>
        <w:rPr>
          <w:lang w:eastAsia="zh-CN"/>
        </w:rPr>
        <w:instrText xml:space="preserve"> REF _Ref127537081 \h </w:instrText>
      </w:r>
      <w:r>
        <w:rPr>
          <w:lang w:eastAsia="zh-CN"/>
        </w:rPr>
      </w:r>
      <w:r>
        <w:rPr>
          <w:lang w:eastAsia="zh-CN"/>
        </w:rPr>
        <w:fldChar w:fldCharType="separate"/>
      </w:r>
      <w:r w:rsidR="00EA7EC4">
        <w:t xml:space="preserve">Figure </w:t>
      </w:r>
      <w:r w:rsidR="00EA7EC4">
        <w:rPr>
          <w:noProof/>
        </w:rPr>
        <w:t>27</w:t>
      </w:r>
      <w:r>
        <w:rPr>
          <w:lang w:eastAsia="zh-CN"/>
        </w:rPr>
        <w:fldChar w:fldCharType="end"/>
      </w:r>
      <w:r>
        <w:rPr>
          <w:lang w:eastAsia="zh-CN"/>
        </w:rPr>
        <w:t xml:space="preserve"> where at a certain time instant, the UE computes to total amount of exposure that occurred over a period of time in the past leading up to that instance in time and forecasts the amount of RF exposure that can then be allowed for a period of time in the immediate future. </w:t>
      </w:r>
    </w:p>
    <w:p w14:paraId="2D87CBB8" w14:textId="77777777" w:rsidR="00023018" w:rsidRDefault="00023018" w:rsidP="00023018">
      <w:pPr>
        <w:rPr>
          <w:lang w:eastAsia="zh-CN"/>
        </w:rPr>
      </w:pPr>
    </w:p>
    <w:p w14:paraId="4D9F2996" w14:textId="77777777" w:rsidR="00023018" w:rsidRDefault="00023018" w:rsidP="00023018">
      <w:pPr>
        <w:rPr>
          <w:lang w:eastAsia="zh-CN"/>
        </w:rPr>
      </w:pPr>
    </w:p>
    <w:p w14:paraId="6E0B2DDD" w14:textId="77777777" w:rsidR="00023018" w:rsidRDefault="00023018" w:rsidP="00023018">
      <w:pPr>
        <w:keepNext/>
      </w:pPr>
      <w:r>
        <w:rPr>
          <w:noProof/>
          <w:lang w:eastAsia="zh-CN"/>
        </w:rPr>
        <w:lastRenderedPageBreak/>
        <w:drawing>
          <wp:inline distT="0" distB="0" distL="0" distR="0" wp14:anchorId="1D841A53" wp14:editId="55164A7B">
            <wp:extent cx="5957487" cy="2096107"/>
            <wp:effectExtent l="0" t="0" r="0" b="0"/>
            <wp:docPr id="4" name="Picture 4" descr="A picture containing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histo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90252" cy="2107635"/>
                    </a:xfrm>
                    <a:prstGeom prst="rect">
                      <a:avLst/>
                    </a:prstGeom>
                    <a:noFill/>
                  </pic:spPr>
                </pic:pic>
              </a:graphicData>
            </a:graphic>
          </wp:inline>
        </w:drawing>
      </w:r>
    </w:p>
    <w:p w14:paraId="3DEB7757" w14:textId="1CE0E23F" w:rsidR="00023018" w:rsidRDefault="00023018" w:rsidP="00023018">
      <w:pPr>
        <w:pStyle w:val="Caption"/>
        <w:jc w:val="center"/>
        <w:rPr>
          <w:lang w:eastAsia="zh-CN"/>
        </w:rPr>
      </w:pPr>
      <w:bookmarkStart w:id="33" w:name="_Ref127537081"/>
      <w:r>
        <w:t xml:space="preserve">Figure </w:t>
      </w:r>
      <w:r>
        <w:fldChar w:fldCharType="begin"/>
      </w:r>
      <w:r>
        <w:instrText xml:space="preserve"> SEQ Figure \* ARABIC </w:instrText>
      </w:r>
      <w:r>
        <w:fldChar w:fldCharType="separate"/>
      </w:r>
      <w:r w:rsidR="00EA7EC4">
        <w:rPr>
          <w:noProof/>
        </w:rPr>
        <w:t>27</w:t>
      </w:r>
      <w:r>
        <w:fldChar w:fldCharType="end"/>
      </w:r>
      <w:bookmarkEnd w:id="33"/>
      <w:r>
        <w:t xml:space="preserve"> Time-averaged RF exposure</w:t>
      </w:r>
    </w:p>
    <w:p w14:paraId="0D4E086B" w14:textId="77777777" w:rsidR="00023018" w:rsidRDefault="00023018" w:rsidP="00023018">
      <w:pPr>
        <w:jc w:val="both"/>
        <w:rPr>
          <w:lang w:eastAsia="zh-CN"/>
        </w:rPr>
      </w:pPr>
      <w:r>
        <w:rPr>
          <w:lang w:eastAsia="zh-CN"/>
        </w:rPr>
        <w:t>Once the UE determines the available RF exposure for a certain period of time (for e.g. 500 ms) starting from current time, the UE can then use this exposure limit in a flexible manner while adhering to the power control settings, i.e., the UE can choose to allow a uniform amount of exposure spread out over the entire period of time or allow increased exposure in the initial portion, followed by a decreased amount of exposure in the remaining portion. These choices then determine the amount of transmit power available to transmit uplink data/control.</w:t>
      </w:r>
    </w:p>
    <w:p w14:paraId="05A5B31D" w14:textId="77777777" w:rsidR="00023018" w:rsidRDefault="00023018" w:rsidP="00023018">
      <w:pPr>
        <w:jc w:val="both"/>
        <w:rPr>
          <w:lang w:eastAsia="zh-CN"/>
        </w:rPr>
      </w:pPr>
      <w:r>
        <w:rPr>
          <w:lang w:eastAsia="zh-CN"/>
        </w:rPr>
        <w:t>The following figures illustrates how a UE can translate the available RF exposure to instantaneous transmit power levels. As can be seen, the UE may be able to boost its power to a high-power level for a fraction of time located anywhere within the period of interest.</w:t>
      </w:r>
    </w:p>
    <w:p w14:paraId="40D50287" w14:textId="77777777" w:rsidR="00023018" w:rsidRDefault="00023018" w:rsidP="00023018">
      <w:pPr>
        <w:rPr>
          <w:lang w:eastAsia="zh-CN"/>
        </w:rPr>
      </w:pPr>
    </w:p>
    <w:p w14:paraId="46CEC837" w14:textId="77777777" w:rsidR="00023018" w:rsidRDefault="00023018" w:rsidP="00023018">
      <w:pPr>
        <w:keepNext/>
      </w:pPr>
      <w:r>
        <w:rPr>
          <w:noProof/>
          <w:lang w:eastAsia="zh-CN"/>
        </w:rPr>
        <w:drawing>
          <wp:inline distT="0" distB="0" distL="0" distR="0" wp14:anchorId="47FE77B0" wp14:editId="53342281">
            <wp:extent cx="5879595" cy="2745718"/>
            <wp:effectExtent l="0" t="0" r="6985"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19693" cy="2764443"/>
                    </a:xfrm>
                    <a:prstGeom prst="rect">
                      <a:avLst/>
                    </a:prstGeom>
                    <a:noFill/>
                  </pic:spPr>
                </pic:pic>
              </a:graphicData>
            </a:graphic>
          </wp:inline>
        </w:drawing>
      </w:r>
    </w:p>
    <w:p w14:paraId="05E3B14A" w14:textId="659E176A" w:rsidR="00023018" w:rsidRDefault="00023018" w:rsidP="00023018">
      <w:pPr>
        <w:pStyle w:val="Caption"/>
        <w:jc w:val="center"/>
        <w:rPr>
          <w:lang w:eastAsia="zh-CN"/>
        </w:rPr>
      </w:pPr>
      <w:r>
        <w:t xml:space="preserve">Figure </w:t>
      </w:r>
      <w:r>
        <w:fldChar w:fldCharType="begin"/>
      </w:r>
      <w:r>
        <w:instrText xml:space="preserve"> SEQ Figure \* ARABIC </w:instrText>
      </w:r>
      <w:r>
        <w:fldChar w:fldCharType="separate"/>
      </w:r>
      <w:r w:rsidR="00EA7EC4">
        <w:rPr>
          <w:noProof/>
        </w:rPr>
        <w:t>28</w:t>
      </w:r>
      <w:r>
        <w:fldChar w:fldCharType="end"/>
      </w:r>
      <w:r>
        <w:t xml:space="preserve"> Forecasting </w:t>
      </w:r>
      <w:r w:rsidR="000648EE">
        <w:t>power</w:t>
      </w:r>
      <w:r>
        <w:t xml:space="preserve"> availability and its impact on instantaneous </w:t>
      </w:r>
      <w:r w:rsidR="00A82A3C">
        <w:t>power.</w:t>
      </w:r>
    </w:p>
    <w:tbl>
      <w:tblPr>
        <w:tblStyle w:val="TableGrid"/>
        <w:tblW w:w="0" w:type="auto"/>
        <w:tblLook w:val="04A0" w:firstRow="1" w:lastRow="0" w:firstColumn="1" w:lastColumn="0" w:noHBand="0" w:noVBand="1"/>
      </w:tblPr>
      <w:tblGrid>
        <w:gridCol w:w="9350"/>
      </w:tblGrid>
      <w:tr w:rsidR="00023018" w14:paraId="4095F3F8" w14:textId="77777777" w:rsidTr="00543BFF">
        <w:tc>
          <w:tcPr>
            <w:tcW w:w="9350" w:type="dxa"/>
          </w:tcPr>
          <w:p w14:paraId="0B15060E" w14:textId="1A2474F1" w:rsidR="00023018" w:rsidRDefault="00023018" w:rsidP="00543BFF">
            <w:pPr>
              <w:jc w:val="both"/>
              <w:rPr>
                <w:b/>
                <w:bCs/>
                <w:lang w:eastAsia="zh-CN"/>
              </w:rPr>
            </w:pPr>
            <w:r w:rsidRPr="00B87DE4">
              <w:rPr>
                <w:b/>
                <w:bCs/>
                <w:lang w:eastAsia="zh-CN"/>
              </w:rPr>
              <w:t>Observation</w:t>
            </w:r>
            <w:r>
              <w:rPr>
                <w:b/>
                <w:bCs/>
                <w:lang w:eastAsia="zh-CN"/>
              </w:rPr>
              <w:t xml:space="preserve"> 1</w:t>
            </w:r>
            <w:r w:rsidR="00A82A3C">
              <w:rPr>
                <w:b/>
                <w:bCs/>
                <w:lang w:eastAsia="zh-CN"/>
              </w:rPr>
              <w:t>5</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 </w:t>
            </w:r>
          </w:p>
        </w:tc>
      </w:tr>
    </w:tbl>
    <w:p w14:paraId="53BD435D" w14:textId="77777777" w:rsidR="00023018" w:rsidRDefault="00023018" w:rsidP="00023018">
      <w:pPr>
        <w:jc w:val="both"/>
        <w:rPr>
          <w:b/>
          <w:bCs/>
          <w:lang w:eastAsia="zh-CN"/>
        </w:rPr>
      </w:pPr>
    </w:p>
    <w:p w14:paraId="1ECE318F" w14:textId="77777777" w:rsidR="00023018" w:rsidRDefault="00023018" w:rsidP="00023018">
      <w:pPr>
        <w:jc w:val="both"/>
        <w:rPr>
          <w:lang w:eastAsia="zh-CN"/>
        </w:rPr>
      </w:pPr>
      <w:r>
        <w:rPr>
          <w:lang w:eastAsia="zh-CN"/>
        </w:rPr>
        <w:t xml:space="preserve">A UE’s ability to temporarily boost its transmit power varies over time and depends on the set of active transmission bands. To enable concurrent transmissions across different bands in CA, its beneficial for the gNB to better understand a UE’s ability to transmit at high power across different bands at different points in time. In this context, it is pertinent to look at the existing mechanisms in the 5G NR specification that convey information on uplink transmit power to the gNB. </w:t>
      </w:r>
    </w:p>
    <w:p w14:paraId="67500E91" w14:textId="6BF2123B" w:rsidR="00023018" w:rsidRDefault="00023018" w:rsidP="00023018">
      <w:pPr>
        <w:jc w:val="both"/>
        <w:rPr>
          <w:lang w:eastAsia="zh-CN"/>
        </w:rPr>
      </w:pPr>
      <w:r>
        <w:rPr>
          <w:lang w:eastAsia="zh-CN"/>
        </w:rPr>
        <w:lastRenderedPageBreak/>
        <w:t xml:space="preserve">Focusing on power headroom reporting, a UE can report the instantaneous transmit power used to transmit a PUSCH transmission. The report consists of power headroom (6 bits),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Pr>
          <w:lang w:eastAsia="zh-CN"/>
        </w:rPr>
        <w:t xml:space="preserve"> (6 bits), and P-MPR (2 bits). Power headroom reflects the amount of additional transmit power a UE can deliver in reference to the current PUSCH power level, while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Pr>
          <w:lang w:eastAsia="zh-CN"/>
        </w:rPr>
        <w:t xml:space="preserve">  reflects the maximum power a UE can deliver at that instance. P-MPR reporting is only enabled for FR2 bands. As it can be seen, this report only provides an instantaneous snapshot of the set of parameters that governed a particular PUSCH transmission. It carries no information on a UE’s ability to support future uplink transmission at this or higher power level. </w:t>
      </w:r>
      <w:r w:rsidR="00C401E8">
        <w:rPr>
          <w:lang w:eastAsia="zh-CN"/>
        </w:rPr>
        <w:t>Consequently</w:t>
      </w:r>
      <w:r>
        <w:rPr>
          <w:lang w:eastAsia="zh-CN"/>
        </w:rPr>
        <w:t xml:space="preserve">, if a UE reports a low power headroom or low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m:t>
            </m:r>
          </m:sub>
        </m:sSub>
      </m:oMath>
      <w:r>
        <w:rPr>
          <w:lang w:eastAsia="zh-CN"/>
        </w:rPr>
        <w:t xml:space="preserve">, gNB often doesn’t know if this likely to change soon or if it’s going to be persistent and warrant gNB to change its scheduling strategies to accommodate this. </w:t>
      </w:r>
    </w:p>
    <w:p w14:paraId="054BC5CB" w14:textId="77777777" w:rsidR="00023018" w:rsidRDefault="00023018" w:rsidP="00023018">
      <w:pPr>
        <w:rPr>
          <w:lang w:eastAsia="zh-CN"/>
        </w:rPr>
      </w:pPr>
    </w:p>
    <w:p w14:paraId="46EFAC8D" w14:textId="77777777" w:rsidR="00023018" w:rsidRDefault="00023018" w:rsidP="00023018">
      <w:pPr>
        <w:keepNext/>
        <w:jc w:val="center"/>
      </w:pPr>
      <w:r>
        <w:rPr>
          <w:noProof/>
        </w:rPr>
        <w:drawing>
          <wp:inline distT="0" distB="0" distL="0" distR="0" wp14:anchorId="7716D884" wp14:editId="155AEE1E">
            <wp:extent cx="2763641" cy="1035184"/>
            <wp:effectExtent l="0" t="0" r="0" b="0"/>
            <wp:docPr id="13" name="Picture 13" descr="A picture containing text, antenna,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antenna, screenshot&#10;&#10;Description automatically generated"/>
                    <pic:cNvPicPr/>
                  </pic:nvPicPr>
                  <pic:blipFill>
                    <a:blip r:embed="rId47"/>
                    <a:stretch>
                      <a:fillRect/>
                    </a:stretch>
                  </pic:blipFill>
                  <pic:spPr>
                    <a:xfrm>
                      <a:off x="0" y="0"/>
                      <a:ext cx="2800864" cy="1049127"/>
                    </a:xfrm>
                    <a:prstGeom prst="rect">
                      <a:avLst/>
                    </a:prstGeom>
                  </pic:spPr>
                </pic:pic>
              </a:graphicData>
            </a:graphic>
          </wp:inline>
        </w:drawing>
      </w:r>
    </w:p>
    <w:p w14:paraId="792CB9FB" w14:textId="5EB30280" w:rsidR="00023018" w:rsidRPr="00256D5B" w:rsidRDefault="00023018" w:rsidP="00E3582C">
      <w:pPr>
        <w:pStyle w:val="Caption"/>
        <w:jc w:val="center"/>
        <w:rPr>
          <w:rFonts w:asciiTheme="minorHAnsi" w:hAnsiTheme="minorHAnsi" w:cstheme="minorHAnsi"/>
          <w:lang w:eastAsia="zh-CN"/>
        </w:rPr>
      </w:pPr>
      <w:r w:rsidRPr="00256D5B">
        <w:rPr>
          <w:rFonts w:asciiTheme="minorHAnsi" w:hAnsiTheme="minorHAnsi" w:cstheme="minorHAnsi"/>
          <w:color w:val="000000" w:themeColor="text1"/>
          <w:sz w:val="20"/>
          <w:szCs w:val="20"/>
        </w:rPr>
        <w:t xml:space="preserve">Figure </w:t>
      </w:r>
      <w:r w:rsidRPr="00256D5B">
        <w:rPr>
          <w:rFonts w:asciiTheme="minorHAnsi" w:hAnsiTheme="minorHAnsi" w:cstheme="minorHAnsi"/>
          <w:color w:val="000000" w:themeColor="text1"/>
          <w:sz w:val="20"/>
          <w:szCs w:val="20"/>
        </w:rPr>
        <w:fldChar w:fldCharType="begin"/>
      </w:r>
      <w:r w:rsidRPr="00256D5B">
        <w:rPr>
          <w:rFonts w:asciiTheme="minorHAnsi" w:hAnsiTheme="minorHAnsi" w:cstheme="minorHAnsi"/>
          <w:color w:val="000000" w:themeColor="text1"/>
          <w:sz w:val="20"/>
          <w:szCs w:val="20"/>
        </w:rPr>
        <w:instrText xml:space="preserve"> SEQ Figure \* ARABIC </w:instrText>
      </w:r>
      <w:r w:rsidRPr="00256D5B">
        <w:rPr>
          <w:rFonts w:asciiTheme="minorHAnsi" w:hAnsiTheme="minorHAnsi" w:cstheme="minorHAnsi"/>
          <w:color w:val="000000" w:themeColor="text1"/>
          <w:sz w:val="20"/>
          <w:szCs w:val="20"/>
        </w:rPr>
        <w:fldChar w:fldCharType="separate"/>
      </w:r>
      <w:r w:rsidR="00EA7EC4" w:rsidRPr="00256D5B">
        <w:rPr>
          <w:rFonts w:asciiTheme="minorHAnsi" w:hAnsiTheme="minorHAnsi" w:cstheme="minorHAnsi"/>
          <w:noProof/>
          <w:color w:val="000000" w:themeColor="text1"/>
          <w:sz w:val="20"/>
          <w:szCs w:val="20"/>
        </w:rPr>
        <w:t>29</w:t>
      </w:r>
      <w:r w:rsidRPr="00256D5B">
        <w:rPr>
          <w:rFonts w:asciiTheme="minorHAnsi" w:hAnsiTheme="minorHAnsi" w:cstheme="minorHAnsi"/>
          <w:color w:val="000000" w:themeColor="text1"/>
          <w:sz w:val="20"/>
          <w:szCs w:val="20"/>
        </w:rPr>
        <w:fldChar w:fldCharType="end"/>
      </w:r>
      <w:r w:rsidRPr="00256D5B">
        <w:rPr>
          <w:rFonts w:asciiTheme="minorHAnsi" w:hAnsiTheme="minorHAnsi" w:cstheme="minorHAnsi"/>
          <w:color w:val="000000" w:themeColor="text1"/>
          <w:sz w:val="20"/>
          <w:szCs w:val="20"/>
        </w:rPr>
        <w:t xml:space="preserve"> Single Cell PHR MAC CE with the following fields: 6 bit PH field, 6 bit </w:t>
      </w:r>
      <m:oMath>
        <m:sSub>
          <m:sSubPr>
            <m:ctrlPr>
              <w:rPr>
                <w:rFonts w:ascii="Cambria Math" w:hAnsi="Cambria Math" w:cstheme="minorHAnsi"/>
                <w:color w:val="000000" w:themeColor="text1"/>
                <w:sz w:val="20"/>
                <w:szCs w:val="20"/>
              </w:rPr>
            </m:ctrlPr>
          </m:sSubPr>
          <m:e>
            <m:r>
              <w:rPr>
                <w:rFonts w:ascii="Cambria Math" w:hAnsi="Cambria Math" w:cstheme="minorHAnsi"/>
                <w:color w:val="000000" w:themeColor="text1"/>
                <w:sz w:val="20"/>
                <w:szCs w:val="20"/>
              </w:rPr>
              <m:t>P</m:t>
            </m:r>
          </m:e>
          <m:sub>
            <m:r>
              <w:rPr>
                <w:rFonts w:ascii="Cambria Math" w:hAnsi="Cambria Math" w:cstheme="minorHAnsi"/>
                <w:color w:val="000000" w:themeColor="text1"/>
                <w:sz w:val="20"/>
                <w:szCs w:val="20"/>
              </w:rPr>
              <m:t>CMAX</m:t>
            </m:r>
          </m:sub>
        </m:sSub>
      </m:oMath>
      <w:r w:rsidR="00E3582C">
        <w:rPr>
          <w:rFonts w:asciiTheme="minorHAnsi" w:hAnsiTheme="minorHAnsi" w:cstheme="minorHAnsi"/>
          <w:color w:val="000000" w:themeColor="text1"/>
          <w:sz w:val="20"/>
          <w:szCs w:val="20"/>
        </w:rPr>
        <w:t xml:space="preserve"> </w:t>
      </w:r>
      <w:r w:rsidR="00995074" w:rsidRPr="00995074">
        <w:rPr>
          <w:rFonts w:asciiTheme="minorHAnsi" w:hAnsiTheme="minorHAnsi" w:cstheme="minorHAnsi"/>
          <w:color w:val="000000" w:themeColor="text1"/>
          <w:sz w:val="20"/>
          <w:szCs w:val="20"/>
        </w:rPr>
        <w:t>field, 1 bit (P) to indicate whether MPE is being reported, and 2 bits to indicate MPE.</w:t>
      </w:r>
    </w:p>
    <w:tbl>
      <w:tblPr>
        <w:tblStyle w:val="TableGrid"/>
        <w:tblW w:w="0" w:type="auto"/>
        <w:tblLook w:val="04A0" w:firstRow="1" w:lastRow="0" w:firstColumn="1" w:lastColumn="0" w:noHBand="0" w:noVBand="1"/>
      </w:tblPr>
      <w:tblGrid>
        <w:gridCol w:w="9350"/>
      </w:tblGrid>
      <w:tr w:rsidR="00023018" w14:paraId="30C0E33A" w14:textId="77777777" w:rsidTr="00543BFF">
        <w:tc>
          <w:tcPr>
            <w:tcW w:w="9350" w:type="dxa"/>
          </w:tcPr>
          <w:p w14:paraId="43E7DAC7" w14:textId="15F6C05D" w:rsidR="00023018" w:rsidRDefault="00023018" w:rsidP="00543BFF">
            <w:pPr>
              <w:jc w:val="both"/>
              <w:rPr>
                <w:b/>
                <w:bCs/>
                <w:lang w:eastAsia="zh-CN"/>
              </w:rPr>
            </w:pPr>
            <w:r w:rsidRPr="00B87DE4">
              <w:rPr>
                <w:b/>
                <w:bCs/>
                <w:lang w:eastAsia="zh-CN"/>
              </w:rPr>
              <w:t>Observation</w:t>
            </w:r>
            <w:r>
              <w:rPr>
                <w:b/>
                <w:bCs/>
                <w:lang w:eastAsia="zh-CN"/>
              </w:rPr>
              <w:t xml:space="preserve"> 1</w:t>
            </w:r>
            <w:r w:rsidR="00C401E8">
              <w:rPr>
                <w:b/>
                <w:bCs/>
                <w:lang w:eastAsia="zh-CN"/>
              </w:rPr>
              <w:t>6</w:t>
            </w:r>
            <w:r w:rsidRPr="00B87DE4">
              <w:rPr>
                <w:b/>
                <w:bCs/>
                <w:lang w:eastAsia="zh-CN"/>
              </w:rPr>
              <w:t>:</w:t>
            </w:r>
            <w:r>
              <w:rPr>
                <w:lang w:eastAsia="zh-CN"/>
              </w:rPr>
              <w:t xml:space="preserve"> Existing PHR mechanism only carries information on instantaneous power levels used by a UE.</w:t>
            </w:r>
          </w:p>
        </w:tc>
      </w:tr>
    </w:tbl>
    <w:p w14:paraId="72DA073A" w14:textId="77777777" w:rsidR="00023018" w:rsidRDefault="00023018" w:rsidP="00023018">
      <w:pPr>
        <w:jc w:val="both"/>
        <w:rPr>
          <w:lang w:eastAsia="zh-CN"/>
        </w:rPr>
      </w:pPr>
    </w:p>
    <w:tbl>
      <w:tblPr>
        <w:tblStyle w:val="TableGrid"/>
        <w:tblW w:w="0" w:type="auto"/>
        <w:tblLook w:val="04A0" w:firstRow="1" w:lastRow="0" w:firstColumn="1" w:lastColumn="0" w:noHBand="0" w:noVBand="1"/>
      </w:tblPr>
      <w:tblGrid>
        <w:gridCol w:w="9350"/>
      </w:tblGrid>
      <w:tr w:rsidR="00023018" w14:paraId="05C77022" w14:textId="77777777" w:rsidTr="00543BFF">
        <w:tc>
          <w:tcPr>
            <w:tcW w:w="9350" w:type="dxa"/>
          </w:tcPr>
          <w:p w14:paraId="31543023" w14:textId="263A00F2" w:rsidR="00023018" w:rsidRDefault="00023018" w:rsidP="00543BFF">
            <w:pPr>
              <w:jc w:val="both"/>
              <w:rPr>
                <w:lang w:eastAsia="zh-CN"/>
              </w:rPr>
            </w:pPr>
            <w:r w:rsidRPr="00B87DE4">
              <w:rPr>
                <w:b/>
                <w:bCs/>
                <w:lang w:eastAsia="zh-CN"/>
              </w:rPr>
              <w:t>Observation</w:t>
            </w:r>
            <w:r>
              <w:rPr>
                <w:b/>
                <w:bCs/>
                <w:lang w:eastAsia="zh-CN"/>
              </w:rPr>
              <w:t xml:space="preserve"> 1</w:t>
            </w:r>
            <w:r w:rsidR="00C401E8">
              <w:rPr>
                <w:b/>
                <w:bCs/>
                <w:lang w:eastAsia="zh-CN"/>
              </w:rPr>
              <w:t>7</w:t>
            </w:r>
            <w:r w:rsidRPr="00B87DE4">
              <w:rPr>
                <w:b/>
                <w:bCs/>
                <w:lang w:eastAsia="zh-CN"/>
              </w:rPr>
              <w:t>:</w:t>
            </w:r>
            <w:r>
              <w:rPr>
                <w:lang w:eastAsia="zh-CN"/>
              </w:rPr>
              <w:t xml:space="preserve"> For FR1 carriers, existing PHR mechanism does not allow a UE to report the applied power backoff due to RF exposure requirements.</w:t>
            </w:r>
          </w:p>
        </w:tc>
      </w:tr>
    </w:tbl>
    <w:p w14:paraId="4F256B6B" w14:textId="77777777" w:rsidR="00023018" w:rsidRDefault="00023018" w:rsidP="00023018">
      <w:pPr>
        <w:jc w:val="both"/>
        <w:rPr>
          <w:lang w:eastAsia="zh-CN"/>
        </w:rPr>
      </w:pPr>
    </w:p>
    <w:p w14:paraId="6996C202" w14:textId="77777777" w:rsidR="00023018" w:rsidRDefault="00023018" w:rsidP="00023018">
      <w:pPr>
        <w:jc w:val="both"/>
        <w:rPr>
          <w:lang w:eastAsia="zh-CN"/>
        </w:rPr>
      </w:pPr>
      <w:r>
        <w:rPr>
          <w:lang w:eastAsia="zh-CN"/>
        </w:rPr>
        <w:t xml:space="preserve">In addition to this, as part of UE capability reporting, a UE is allowed to report maximum UL duty cycle a UE can support, i.e., maximum average percentage of symbols during a certain evaluation period that can be scheduled for uplink transmission. For non-CA operation, this reporting is per band and applicable to all power classes in FR2 and PC1.5 power class in FR1. For inter-band CA operation with PC2 power class, this reporting is per band.  This reporting is however static in nature and cannot be revised by a UE after initial call setup procedure is completed. </w:t>
      </w:r>
    </w:p>
    <w:p w14:paraId="579DB445" w14:textId="77777777" w:rsidR="00023018" w:rsidRDefault="00023018" w:rsidP="00023018">
      <w:pPr>
        <w:jc w:val="both"/>
        <w:rPr>
          <w:lang w:eastAsia="zh-CN"/>
        </w:rPr>
      </w:pPr>
      <w:r>
        <w:rPr>
          <w:lang w:eastAsia="zh-CN"/>
        </w:rPr>
        <w:t>The above observations highlight the lack of existing mechanisms for a UE to report time varying transmit power availability to the gNB. The key goal of this discussion is to motivate the need for such signaling so that the gNB can adopt more nuanced scheduling decisions that factor in energy/power availability at the UE. These aspects become even more important for realizing high power transmission in CA/DC.</w:t>
      </w:r>
    </w:p>
    <w:tbl>
      <w:tblPr>
        <w:tblStyle w:val="TableGrid"/>
        <w:tblW w:w="0" w:type="auto"/>
        <w:tblLook w:val="04A0" w:firstRow="1" w:lastRow="0" w:firstColumn="1" w:lastColumn="0" w:noHBand="0" w:noVBand="1"/>
      </w:tblPr>
      <w:tblGrid>
        <w:gridCol w:w="9350"/>
      </w:tblGrid>
      <w:tr w:rsidR="00023018" w14:paraId="6BA874F7" w14:textId="77777777" w:rsidTr="00543BFF">
        <w:tc>
          <w:tcPr>
            <w:tcW w:w="9350" w:type="dxa"/>
          </w:tcPr>
          <w:p w14:paraId="5819AA55" w14:textId="568D0C10" w:rsidR="00023018" w:rsidRDefault="00023018" w:rsidP="00543BFF">
            <w:pPr>
              <w:jc w:val="both"/>
              <w:rPr>
                <w:lang w:eastAsia="zh-CN"/>
              </w:rPr>
            </w:pPr>
            <w:r w:rsidRPr="00B87DE4">
              <w:rPr>
                <w:b/>
                <w:bCs/>
                <w:lang w:eastAsia="zh-CN"/>
              </w:rPr>
              <w:t>Observation</w:t>
            </w:r>
            <w:r>
              <w:rPr>
                <w:b/>
                <w:bCs/>
                <w:lang w:eastAsia="zh-CN"/>
              </w:rPr>
              <w:t xml:space="preserve"> 1</w:t>
            </w:r>
            <w:r w:rsidR="00C401E8">
              <w:rPr>
                <w:b/>
                <w:bCs/>
                <w:lang w:eastAsia="zh-CN"/>
              </w:rPr>
              <w:t>8</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 </w:t>
            </w:r>
          </w:p>
        </w:tc>
      </w:tr>
    </w:tbl>
    <w:p w14:paraId="389C0BC3" w14:textId="77777777" w:rsidR="00023018" w:rsidRDefault="00023018" w:rsidP="00023018">
      <w:pPr>
        <w:jc w:val="center"/>
        <w:rPr>
          <w:lang w:eastAsia="zh-CN"/>
        </w:rPr>
      </w:pPr>
    </w:p>
    <w:p w14:paraId="557BFE32" w14:textId="77777777" w:rsidR="00023018" w:rsidRPr="00B3689B" w:rsidRDefault="00023018" w:rsidP="00955D74">
      <w:pPr>
        <w:pStyle w:val="Heading3"/>
        <w:rPr>
          <w:lang w:eastAsia="zh-CN"/>
        </w:rPr>
      </w:pPr>
      <w:r w:rsidRPr="00B3689B">
        <w:rPr>
          <w:lang w:eastAsia="zh-CN"/>
        </w:rPr>
        <w:t>Background on R17 enhancements to high power transmission in CA/DC</w:t>
      </w:r>
    </w:p>
    <w:p w14:paraId="10D3B383" w14:textId="77777777" w:rsidR="00023018" w:rsidRPr="00B3689B" w:rsidRDefault="00023018" w:rsidP="00023018">
      <w:pPr>
        <w:jc w:val="both"/>
        <w:rPr>
          <w:color w:val="000000" w:themeColor="text1"/>
          <w:lang w:val="en-GB" w:eastAsia="zh-CN"/>
        </w:rPr>
      </w:pPr>
      <w:r w:rsidRPr="00B3689B">
        <w:rPr>
          <w:color w:val="000000" w:themeColor="text1"/>
          <w:lang w:val="en-GB" w:eastAsia="zh-CN"/>
        </w:rPr>
        <w:t xml:space="preserve">Typically, a UE uses a dedicated set of power amplifiers to support transmissions in a band. The maximum power a UE can transmit in a band is governed by its power class. When operating across more than one band, although the UE can theoretically deliver maximum power across each of the bands in a band combination, the maximum total power a UE can deliver is governed by the power class associated with that band combination. </w:t>
      </w:r>
    </w:p>
    <w:p w14:paraId="249A58EC" w14:textId="77777777" w:rsidR="00023018" w:rsidRPr="00B3689B" w:rsidRDefault="00023018" w:rsidP="00023018">
      <w:pPr>
        <w:jc w:val="both"/>
        <w:rPr>
          <w:color w:val="000000" w:themeColor="text1"/>
          <w:lang w:val="en-GB" w:eastAsia="zh-CN"/>
        </w:rPr>
      </w:pPr>
      <w:r w:rsidRPr="00B3689B">
        <w:rPr>
          <w:color w:val="000000" w:themeColor="text1"/>
          <w:lang w:val="en-GB" w:eastAsia="zh-CN"/>
        </w:rPr>
        <w:t xml:space="preserve">For example, a UE may declare itself as a PC3 (maximum output power of 23 dBm) UE in band X and band Y, and as a PC3 UE for the band combination X &amp; Y. The PC3 declaration in band combination X &amp; Y is driven less so by UE capability and more because the RAN4 specification only allows certain power classes for a particular band combination. This unnecessarily limits such a UE from transmitting at the combined maximum power for that band combination. </w:t>
      </w:r>
    </w:p>
    <w:p w14:paraId="50520F47" w14:textId="77777777" w:rsidR="00023018" w:rsidRPr="00B3689B" w:rsidRDefault="00023018" w:rsidP="00023018">
      <w:pPr>
        <w:jc w:val="both"/>
        <w:rPr>
          <w:color w:val="000000" w:themeColor="text1"/>
          <w:lang w:val="en-GB" w:eastAsia="zh-CN"/>
        </w:rPr>
      </w:pPr>
      <w:r w:rsidRPr="00B3689B">
        <w:rPr>
          <w:color w:val="000000" w:themeColor="text1"/>
          <w:lang w:val="en-GB" w:eastAsia="zh-CN"/>
        </w:rPr>
        <w:t xml:space="preserve">Recent changes in RAN4 have tried to address this issue. In the R17 WI on increasing UE power high limit for CA/DC, for band combinations where one band supports up to PC3 power class and another band supports up to PC2 power </w:t>
      </w:r>
      <w:r w:rsidRPr="00B3689B">
        <w:rPr>
          <w:color w:val="000000" w:themeColor="text1"/>
          <w:lang w:val="en-GB" w:eastAsia="zh-CN"/>
        </w:rPr>
        <w:lastRenderedPageBreak/>
        <w:t xml:space="preserve">class, the total power associated with the band combination is assumed to be the sum of the individual power classes [5][6]. A new capability signalling is introduced per band combination to signal support for this relaxation. Under certain regulatory environments, there may be a limit on total output power. For such scenarios, </w:t>
      </w:r>
      <m:oMath>
        <m:sSub>
          <m:sSubPr>
            <m:ctrlPr>
              <w:rPr>
                <w:rFonts w:ascii="Cambria Math" w:hAnsi="Cambria Math"/>
                <w:i/>
                <w:color w:val="000000" w:themeColor="text1"/>
                <w:lang w:val="en-GB" w:eastAsia="zh-CN"/>
              </w:rPr>
            </m:ctrlPr>
          </m:sSubPr>
          <m:e>
            <m:r>
              <w:rPr>
                <w:rFonts w:ascii="Cambria Math" w:hAnsi="Cambria Math"/>
                <w:color w:val="000000" w:themeColor="text1"/>
                <w:lang w:val="en-GB" w:eastAsia="zh-CN"/>
              </w:rPr>
              <m:t>P</m:t>
            </m:r>
          </m:e>
          <m:sub>
            <m:r>
              <w:rPr>
                <w:rFonts w:ascii="Cambria Math" w:hAnsi="Cambria Math"/>
                <w:color w:val="000000" w:themeColor="text1"/>
                <w:lang w:val="en-GB" w:eastAsia="zh-CN"/>
              </w:rPr>
              <m:t>emax,CA</m:t>
            </m:r>
          </m:sub>
        </m:sSub>
      </m:oMath>
      <w:r w:rsidRPr="00B3689B">
        <w:rPr>
          <w:color w:val="000000" w:themeColor="text1"/>
          <w:lang w:val="en-GB" w:eastAsia="zh-CN"/>
        </w:rPr>
        <w:t xml:space="preserve"> needs to be configured such that the total power limit is imposed. A similar relaxation for other power class pairings across bands is likely to be discussed.</w:t>
      </w:r>
    </w:p>
    <w:p w14:paraId="772103D0" w14:textId="77777777" w:rsidR="00023018" w:rsidRPr="006564F8" w:rsidRDefault="00023018" w:rsidP="00023018">
      <w:pPr>
        <w:jc w:val="both"/>
        <w:rPr>
          <w:color w:val="000000" w:themeColor="text1"/>
          <w:lang w:val="en-GB" w:eastAsia="zh-CN"/>
        </w:rPr>
      </w:pPr>
      <w:r w:rsidRPr="006564F8">
        <w:rPr>
          <w:color w:val="000000" w:themeColor="text1"/>
          <w:lang w:val="en-GB" w:eastAsia="zh-CN"/>
        </w:rPr>
        <w:t xml:space="preserve">Commercial cellular network deployments have not seen UL-CA being deployed widely and this could be attributed to the sum-power constraint that is imposed across band combinations. When this constraint is in place, the network is less incentivized to enable simultaneous transmissions across multiple bands in uplink. Anytime simultaneous transmissions are required, power sharing across bands kicks in, and primary uplink band can see a drop in uplink transmit power. The relaxation in the RAN4’s R17 WI aims to precisely address this situation. </w:t>
      </w:r>
    </w:p>
    <w:p w14:paraId="060589CC" w14:textId="77777777" w:rsidR="00023018" w:rsidRPr="00806F9E" w:rsidRDefault="00023018" w:rsidP="00023018">
      <w:pPr>
        <w:jc w:val="both"/>
        <w:rPr>
          <w:lang w:eastAsia="zh-CN"/>
        </w:rPr>
      </w:pPr>
    </w:p>
    <w:p w14:paraId="14F9BD8A" w14:textId="6A68F951" w:rsidR="00166BD2" w:rsidRDefault="00166BD2" w:rsidP="008974D4">
      <w:pPr>
        <w:pStyle w:val="Heading3"/>
        <w:rPr>
          <w:lang w:eastAsia="zh-CN"/>
        </w:rPr>
      </w:pPr>
      <w:r>
        <w:rPr>
          <w:lang w:eastAsia="zh-CN"/>
        </w:rPr>
        <w:t xml:space="preserve">System-level </w:t>
      </w:r>
      <w:r w:rsidR="003F14D4">
        <w:rPr>
          <w:lang w:eastAsia="zh-CN"/>
        </w:rPr>
        <w:t>S</w:t>
      </w:r>
      <w:r>
        <w:rPr>
          <w:lang w:eastAsia="zh-CN"/>
        </w:rPr>
        <w:t xml:space="preserve">imulations </w:t>
      </w:r>
      <w:r w:rsidR="003F14D4">
        <w:rPr>
          <w:lang w:eastAsia="zh-CN"/>
        </w:rPr>
        <w:t>I</w:t>
      </w:r>
      <w:r>
        <w:rPr>
          <w:lang w:eastAsia="zh-CN"/>
        </w:rPr>
        <w:t xml:space="preserve">llustrating the </w:t>
      </w:r>
      <w:r w:rsidR="003F14D4">
        <w:rPr>
          <w:lang w:eastAsia="zh-CN"/>
        </w:rPr>
        <w:t>B</w:t>
      </w:r>
      <w:r>
        <w:rPr>
          <w:lang w:eastAsia="zh-CN"/>
        </w:rPr>
        <w:t xml:space="preserve">enefits of </w:t>
      </w:r>
      <w:r w:rsidR="00F2420B">
        <w:rPr>
          <w:lang w:eastAsia="zh-CN"/>
        </w:rPr>
        <w:t>High-</w:t>
      </w:r>
      <w:r w:rsidR="003F14D4">
        <w:rPr>
          <w:lang w:eastAsia="zh-CN"/>
        </w:rPr>
        <w:t>P</w:t>
      </w:r>
      <w:r w:rsidR="00F2420B">
        <w:rPr>
          <w:lang w:eastAsia="zh-CN"/>
        </w:rPr>
        <w:t xml:space="preserve">ower </w:t>
      </w:r>
      <w:r>
        <w:rPr>
          <w:lang w:eastAsia="zh-CN"/>
        </w:rPr>
        <w:t xml:space="preserve">UL-CA </w:t>
      </w:r>
      <w:r w:rsidR="00356156">
        <w:rPr>
          <w:lang w:eastAsia="zh-CN"/>
        </w:rPr>
        <w:t>W</w:t>
      </w:r>
      <w:r>
        <w:rPr>
          <w:lang w:eastAsia="zh-CN"/>
        </w:rPr>
        <w:t xml:space="preserve">ithout </w:t>
      </w:r>
      <w:r w:rsidR="00356156">
        <w:rPr>
          <w:lang w:eastAsia="zh-CN"/>
        </w:rPr>
        <w:t>S</w:t>
      </w:r>
      <w:r>
        <w:rPr>
          <w:lang w:eastAsia="zh-CN"/>
        </w:rPr>
        <w:t>um-</w:t>
      </w:r>
      <w:r w:rsidR="00356156">
        <w:rPr>
          <w:lang w:eastAsia="zh-CN"/>
        </w:rPr>
        <w:t>P</w:t>
      </w:r>
      <w:r>
        <w:rPr>
          <w:lang w:eastAsia="zh-CN"/>
        </w:rPr>
        <w:t xml:space="preserve">ower </w:t>
      </w:r>
      <w:r w:rsidR="00356156">
        <w:rPr>
          <w:lang w:eastAsia="zh-CN"/>
        </w:rPr>
        <w:t>C</w:t>
      </w:r>
      <w:r>
        <w:rPr>
          <w:lang w:eastAsia="zh-CN"/>
        </w:rPr>
        <w:t>onstraint</w:t>
      </w:r>
    </w:p>
    <w:p w14:paraId="35DFCADD" w14:textId="33748B56" w:rsidR="00047DEB" w:rsidRDefault="005032CB" w:rsidP="00321F1A">
      <w:pPr>
        <w:jc w:val="both"/>
        <w:rPr>
          <w:lang w:val="en-GB" w:eastAsia="zh-CN"/>
        </w:rPr>
      </w:pPr>
      <w:r>
        <w:rPr>
          <w:lang w:val="en-GB" w:eastAsia="zh-CN"/>
        </w:rPr>
        <w:t xml:space="preserve">To assess the benefit of </w:t>
      </w:r>
      <w:r w:rsidR="00232B3F">
        <w:rPr>
          <w:lang w:val="en-GB" w:eastAsia="zh-CN"/>
        </w:rPr>
        <w:t xml:space="preserve">allowing a higher transmit power </w:t>
      </w:r>
      <w:r w:rsidR="00507DE4">
        <w:rPr>
          <w:lang w:val="en-GB" w:eastAsia="zh-CN"/>
        </w:rPr>
        <w:t xml:space="preserve">in UL-CA, we present system-level simulations to </w:t>
      </w:r>
      <w:r w:rsidR="00772268">
        <w:rPr>
          <w:lang w:val="en-GB" w:eastAsia="zh-CN"/>
        </w:rPr>
        <w:t>quantify the amount of gains that can be realized, and the type of UEs that are likely to benefit the most.</w:t>
      </w:r>
      <w:r w:rsidR="00484A16">
        <w:rPr>
          <w:lang w:val="en-GB" w:eastAsia="zh-CN"/>
        </w:rPr>
        <w:t xml:space="preserve"> We consider UL-CA across a TDD and a FDD carrier, with the TDD carrier limited to </w:t>
      </w:r>
      <w:r w:rsidR="00267A95">
        <w:rPr>
          <w:lang w:val="en-GB" w:eastAsia="zh-CN"/>
        </w:rPr>
        <w:t xml:space="preserve">26 dBm (PC2) of transmit power and the FDD carrier limited to 23 dBm of transmit power. </w:t>
      </w:r>
      <w:r w:rsidR="00DE5E7B">
        <w:rPr>
          <w:lang w:val="en-GB" w:eastAsia="zh-CN"/>
        </w:rPr>
        <w:t xml:space="preserve">The combined power limit is set to either 26 dBm or to </w:t>
      </w:r>
      <w:r w:rsidR="00A51D94">
        <w:rPr>
          <w:lang w:val="en-GB" w:eastAsia="zh-CN"/>
        </w:rPr>
        <w:t>27.8</w:t>
      </w:r>
      <w:r w:rsidR="00A31A30">
        <w:rPr>
          <w:lang w:val="en-GB" w:eastAsia="zh-CN"/>
        </w:rPr>
        <w:t xml:space="preserve"> (~ 28 dBm)</w:t>
      </w:r>
      <w:r w:rsidR="00A51D94">
        <w:rPr>
          <w:lang w:val="en-GB" w:eastAsia="zh-CN"/>
        </w:rPr>
        <w:t xml:space="preserve"> </w:t>
      </w:r>
      <w:r w:rsidR="00A31A30">
        <w:rPr>
          <w:lang w:val="en-GB" w:eastAsia="zh-CN"/>
        </w:rPr>
        <w:t xml:space="preserve">dBm to understand the impact of relaxing the sum-power constraint applied to </w:t>
      </w:r>
      <w:r w:rsidR="000D65E1">
        <w:rPr>
          <w:lang w:val="en-GB" w:eastAsia="zh-CN"/>
        </w:rPr>
        <w:t>this band combination.</w:t>
      </w:r>
      <w:r w:rsidR="000D6E20">
        <w:rPr>
          <w:lang w:val="en-GB" w:eastAsia="zh-CN"/>
        </w:rPr>
        <w:t xml:space="preserve"> The TDD carrier is assumed to be centered at 3.5 GHz</w:t>
      </w:r>
      <w:r w:rsidR="00125136">
        <w:rPr>
          <w:lang w:val="en-GB" w:eastAsia="zh-CN"/>
        </w:rPr>
        <w:t xml:space="preserve"> with a total of 100 MHz</w:t>
      </w:r>
      <w:r w:rsidR="000D6E20">
        <w:rPr>
          <w:lang w:val="en-GB" w:eastAsia="zh-CN"/>
        </w:rPr>
        <w:t>, while the FDD carrier is centered at 2 GHz</w:t>
      </w:r>
      <w:r w:rsidR="00125136">
        <w:rPr>
          <w:lang w:val="en-GB" w:eastAsia="zh-CN"/>
        </w:rPr>
        <w:t xml:space="preserve"> with a total of 20 M</w:t>
      </w:r>
      <w:r w:rsidR="000C4290">
        <w:rPr>
          <w:lang w:val="en-GB" w:eastAsia="zh-CN"/>
        </w:rPr>
        <w:t>Hz</w:t>
      </w:r>
      <w:r w:rsidR="000D6E20">
        <w:rPr>
          <w:lang w:val="en-GB" w:eastAsia="zh-CN"/>
        </w:rPr>
        <w:t xml:space="preserve">. </w:t>
      </w:r>
      <w:r w:rsidR="00B2173B">
        <w:rPr>
          <w:lang w:val="en-GB" w:eastAsia="zh-CN"/>
        </w:rPr>
        <w:t>A</w:t>
      </w:r>
      <w:r w:rsidR="00C43B2D">
        <w:rPr>
          <w:lang w:val="en-GB" w:eastAsia="zh-CN"/>
        </w:rPr>
        <w:t>n</w:t>
      </w:r>
      <w:r w:rsidR="00B2173B">
        <w:rPr>
          <w:lang w:val="en-GB" w:eastAsia="zh-CN"/>
        </w:rPr>
        <w:t xml:space="preserve"> </w:t>
      </w:r>
      <w:r w:rsidR="00E82F94">
        <w:rPr>
          <w:lang w:val="en-GB" w:eastAsia="zh-CN"/>
        </w:rPr>
        <w:t xml:space="preserve">Urban Macro layout is assumed with an ISD of 500m. </w:t>
      </w:r>
      <w:r w:rsidR="00C43B2D">
        <w:rPr>
          <w:lang w:val="en-GB" w:eastAsia="zh-CN"/>
        </w:rPr>
        <w:t>Additional simulation parameters are listed in the table below.</w:t>
      </w:r>
    </w:p>
    <w:p w14:paraId="1A7E37CA" w14:textId="58319495" w:rsidR="00045248" w:rsidRDefault="00045248" w:rsidP="00012A23">
      <w:pPr>
        <w:rPr>
          <w:lang w:val="en-GB" w:eastAsia="zh-CN"/>
        </w:rPr>
      </w:pPr>
    </w:p>
    <w:tbl>
      <w:tblPr>
        <w:tblStyle w:val="TableClassic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26"/>
        <w:gridCol w:w="3512"/>
        <w:gridCol w:w="3512"/>
      </w:tblGrid>
      <w:tr w:rsidR="00C85961" w:rsidRPr="000413D2" w14:paraId="5D0CB0DB" w14:textId="77777777" w:rsidTr="00E17278">
        <w:trPr>
          <w:cnfStyle w:val="100000000000" w:firstRow="1" w:lastRow="0" w:firstColumn="0" w:lastColumn="0" w:oddVBand="0" w:evenVBand="0" w:oddHBand="0" w:evenHBand="0" w:firstRowFirstColumn="0" w:firstRowLastColumn="0" w:lastRowFirstColumn="0" w:lastRowLastColumn="0"/>
          <w:trHeight w:val="199"/>
        </w:trPr>
        <w:tc>
          <w:tcPr>
            <w:tcW w:w="0" w:type="auto"/>
            <w:hideMark/>
          </w:tcPr>
          <w:p w14:paraId="3417474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Parameters</w:t>
            </w:r>
          </w:p>
        </w:tc>
        <w:tc>
          <w:tcPr>
            <w:tcW w:w="0" w:type="auto"/>
            <w:hideMark/>
          </w:tcPr>
          <w:p w14:paraId="7C15E99F"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Values for FDD carrier</w:t>
            </w:r>
          </w:p>
        </w:tc>
        <w:tc>
          <w:tcPr>
            <w:tcW w:w="0" w:type="auto"/>
            <w:hideMark/>
          </w:tcPr>
          <w:p w14:paraId="6FB06482"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Values for TDD carrier</w:t>
            </w:r>
          </w:p>
        </w:tc>
      </w:tr>
      <w:tr w:rsidR="00163C62" w:rsidRPr="000413D2" w14:paraId="26F3FB29" w14:textId="77777777" w:rsidTr="00321F1A">
        <w:trPr>
          <w:trHeight w:val="199"/>
        </w:trPr>
        <w:tc>
          <w:tcPr>
            <w:tcW w:w="0" w:type="auto"/>
            <w:hideMark/>
          </w:tcPr>
          <w:p w14:paraId="4AE9B57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Carrier frequency</w:t>
            </w:r>
          </w:p>
        </w:tc>
        <w:tc>
          <w:tcPr>
            <w:tcW w:w="0" w:type="auto"/>
            <w:hideMark/>
          </w:tcPr>
          <w:p w14:paraId="02E3BCBA"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2GHz</w:t>
            </w:r>
          </w:p>
        </w:tc>
        <w:tc>
          <w:tcPr>
            <w:tcW w:w="0" w:type="auto"/>
            <w:hideMark/>
          </w:tcPr>
          <w:p w14:paraId="75CBCFE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3.5GHz</w:t>
            </w:r>
          </w:p>
        </w:tc>
      </w:tr>
      <w:tr w:rsidR="00163C62" w:rsidRPr="000413D2" w14:paraId="432B4B7E" w14:textId="77777777" w:rsidTr="00321F1A">
        <w:trPr>
          <w:trHeight w:val="199"/>
        </w:trPr>
        <w:tc>
          <w:tcPr>
            <w:tcW w:w="0" w:type="auto"/>
            <w:hideMark/>
          </w:tcPr>
          <w:p w14:paraId="78F7127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Bandwidth</w:t>
            </w:r>
          </w:p>
        </w:tc>
        <w:tc>
          <w:tcPr>
            <w:tcW w:w="0" w:type="auto"/>
            <w:hideMark/>
          </w:tcPr>
          <w:p w14:paraId="398C060B"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20MHz</w:t>
            </w:r>
          </w:p>
        </w:tc>
        <w:tc>
          <w:tcPr>
            <w:tcW w:w="0" w:type="auto"/>
            <w:hideMark/>
          </w:tcPr>
          <w:p w14:paraId="4BD0B16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100MHz</w:t>
            </w:r>
          </w:p>
        </w:tc>
      </w:tr>
      <w:tr w:rsidR="00163C62" w:rsidRPr="000413D2" w14:paraId="5DD697A1" w14:textId="77777777" w:rsidTr="00321F1A">
        <w:trPr>
          <w:trHeight w:val="664"/>
        </w:trPr>
        <w:tc>
          <w:tcPr>
            <w:tcW w:w="0" w:type="auto"/>
            <w:hideMark/>
          </w:tcPr>
          <w:p w14:paraId="7AE1E2A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Subcarrier spacing</w:t>
            </w:r>
          </w:p>
        </w:tc>
        <w:tc>
          <w:tcPr>
            <w:tcW w:w="0" w:type="auto"/>
            <w:hideMark/>
          </w:tcPr>
          <w:p w14:paraId="46C0DA8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15KHz</w:t>
            </w:r>
          </w:p>
        </w:tc>
        <w:tc>
          <w:tcPr>
            <w:tcW w:w="0" w:type="auto"/>
            <w:hideMark/>
          </w:tcPr>
          <w:p w14:paraId="6F8BB61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30KHz</w:t>
            </w:r>
          </w:p>
        </w:tc>
      </w:tr>
      <w:tr w:rsidR="00541C59" w:rsidRPr="000413D2" w14:paraId="798C2135" w14:textId="77777777" w:rsidTr="00321F1A">
        <w:trPr>
          <w:trHeight w:val="199"/>
        </w:trPr>
        <w:tc>
          <w:tcPr>
            <w:tcW w:w="0" w:type="auto"/>
            <w:hideMark/>
          </w:tcPr>
          <w:p w14:paraId="0C83E9B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Deployment</w:t>
            </w:r>
          </w:p>
        </w:tc>
        <w:tc>
          <w:tcPr>
            <w:tcW w:w="0" w:type="auto"/>
            <w:gridSpan w:val="2"/>
            <w:hideMark/>
          </w:tcPr>
          <w:p w14:paraId="3BA9A60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Urban macro co-located with ISD = 500m (2 Tier, 19 gNBs, with total of 57 sectors)</w:t>
            </w:r>
          </w:p>
        </w:tc>
      </w:tr>
      <w:tr w:rsidR="00163C62" w:rsidRPr="000413D2" w14:paraId="36E90B1C" w14:textId="77777777" w:rsidTr="00321F1A">
        <w:trPr>
          <w:trHeight w:val="199"/>
        </w:trPr>
        <w:tc>
          <w:tcPr>
            <w:tcW w:w="0" w:type="auto"/>
            <w:hideMark/>
          </w:tcPr>
          <w:p w14:paraId="58BB3D6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transmit power</w:t>
            </w:r>
          </w:p>
        </w:tc>
        <w:tc>
          <w:tcPr>
            <w:tcW w:w="0" w:type="auto"/>
            <w:gridSpan w:val="2"/>
            <w:hideMark/>
          </w:tcPr>
          <w:p w14:paraId="222F18A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46dBm for 10MHz</w:t>
            </w:r>
          </w:p>
        </w:tc>
      </w:tr>
      <w:tr w:rsidR="00541C59" w:rsidRPr="000413D2" w14:paraId="4760FDF2" w14:textId="77777777" w:rsidTr="00321F1A">
        <w:trPr>
          <w:trHeight w:val="199"/>
        </w:trPr>
        <w:tc>
          <w:tcPr>
            <w:tcW w:w="0" w:type="auto"/>
            <w:hideMark/>
          </w:tcPr>
          <w:p w14:paraId="0CB7477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height</w:t>
            </w:r>
          </w:p>
        </w:tc>
        <w:tc>
          <w:tcPr>
            <w:tcW w:w="0" w:type="auto"/>
            <w:gridSpan w:val="2"/>
            <w:hideMark/>
          </w:tcPr>
          <w:p w14:paraId="6E3D5461"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25m</w:t>
            </w:r>
          </w:p>
        </w:tc>
      </w:tr>
      <w:tr w:rsidR="00163C62" w:rsidRPr="000413D2" w14:paraId="232940EB" w14:textId="77777777" w:rsidTr="00321F1A">
        <w:trPr>
          <w:trHeight w:val="199"/>
        </w:trPr>
        <w:tc>
          <w:tcPr>
            <w:tcW w:w="0" w:type="auto"/>
            <w:hideMark/>
          </w:tcPr>
          <w:p w14:paraId="084CA01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noise figure</w:t>
            </w:r>
          </w:p>
        </w:tc>
        <w:tc>
          <w:tcPr>
            <w:tcW w:w="0" w:type="auto"/>
            <w:gridSpan w:val="2"/>
            <w:hideMark/>
          </w:tcPr>
          <w:p w14:paraId="7EA5F7D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5dB</w:t>
            </w:r>
          </w:p>
        </w:tc>
      </w:tr>
      <w:tr w:rsidR="00541C59" w:rsidRPr="000413D2" w14:paraId="4E2F2D8E" w14:textId="77777777" w:rsidTr="00321F1A">
        <w:trPr>
          <w:trHeight w:val="328"/>
        </w:trPr>
        <w:tc>
          <w:tcPr>
            <w:tcW w:w="0" w:type="auto"/>
            <w:hideMark/>
          </w:tcPr>
          <w:p w14:paraId="5E860A01"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element gain</w:t>
            </w:r>
          </w:p>
        </w:tc>
        <w:tc>
          <w:tcPr>
            <w:tcW w:w="0" w:type="auto"/>
            <w:gridSpan w:val="2"/>
            <w:hideMark/>
          </w:tcPr>
          <w:p w14:paraId="573ABD8D"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8dBi</w:t>
            </w:r>
          </w:p>
        </w:tc>
      </w:tr>
      <w:tr w:rsidR="00163C62" w:rsidRPr="000413D2" w14:paraId="5AE7B3FF" w14:textId="77777777" w:rsidTr="00321F1A">
        <w:trPr>
          <w:trHeight w:val="338"/>
        </w:trPr>
        <w:tc>
          <w:tcPr>
            <w:tcW w:w="0" w:type="auto"/>
            <w:hideMark/>
          </w:tcPr>
          <w:p w14:paraId="5FCF45CB"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config</w:t>
            </w:r>
          </w:p>
        </w:tc>
        <w:tc>
          <w:tcPr>
            <w:tcW w:w="0" w:type="auto"/>
            <w:hideMark/>
          </w:tcPr>
          <w:p w14:paraId="2DB560A0"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(2,8,2,1,1;1,1)</w:t>
            </w:r>
          </w:p>
        </w:tc>
        <w:tc>
          <w:tcPr>
            <w:tcW w:w="0" w:type="auto"/>
            <w:hideMark/>
          </w:tcPr>
          <w:p w14:paraId="2248B8D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(8,4,2,1,1;1,1)</w:t>
            </w:r>
          </w:p>
        </w:tc>
      </w:tr>
      <w:tr w:rsidR="00541C59" w:rsidRPr="000413D2" w14:paraId="2575FB9B" w14:textId="77777777" w:rsidTr="00321F1A">
        <w:trPr>
          <w:trHeight w:val="199"/>
        </w:trPr>
        <w:tc>
          <w:tcPr>
            <w:tcW w:w="0" w:type="auto"/>
            <w:hideMark/>
          </w:tcPr>
          <w:p w14:paraId="05F117B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Downtilt</w:t>
            </w:r>
          </w:p>
        </w:tc>
        <w:tc>
          <w:tcPr>
            <w:tcW w:w="0" w:type="auto"/>
            <w:gridSpan w:val="2"/>
            <w:hideMark/>
          </w:tcPr>
          <w:p w14:paraId="0D27149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102 deg</w:t>
            </w:r>
          </w:p>
        </w:tc>
      </w:tr>
      <w:tr w:rsidR="00163C62" w:rsidRPr="000413D2" w14:paraId="732937DD" w14:textId="77777777" w:rsidTr="00321F1A">
        <w:trPr>
          <w:trHeight w:val="199"/>
        </w:trPr>
        <w:tc>
          <w:tcPr>
            <w:tcW w:w="0" w:type="auto"/>
            <w:hideMark/>
          </w:tcPr>
          <w:p w14:paraId="69ACF19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height</w:t>
            </w:r>
          </w:p>
        </w:tc>
        <w:tc>
          <w:tcPr>
            <w:tcW w:w="0" w:type="auto"/>
            <w:gridSpan w:val="2"/>
            <w:hideMark/>
          </w:tcPr>
          <w:p w14:paraId="2ABD156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1.5m</w:t>
            </w:r>
          </w:p>
        </w:tc>
      </w:tr>
      <w:tr w:rsidR="00541C59" w:rsidRPr="000413D2" w14:paraId="493CB996" w14:textId="77777777" w:rsidTr="00321F1A">
        <w:trPr>
          <w:trHeight w:val="199"/>
        </w:trPr>
        <w:tc>
          <w:tcPr>
            <w:tcW w:w="0" w:type="auto"/>
            <w:hideMark/>
          </w:tcPr>
          <w:p w14:paraId="7F11B39F"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noise figure</w:t>
            </w:r>
          </w:p>
        </w:tc>
        <w:tc>
          <w:tcPr>
            <w:tcW w:w="0" w:type="auto"/>
            <w:gridSpan w:val="2"/>
            <w:hideMark/>
          </w:tcPr>
          <w:p w14:paraId="6524C72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9dB</w:t>
            </w:r>
          </w:p>
        </w:tc>
      </w:tr>
      <w:tr w:rsidR="00163C62" w:rsidRPr="000413D2" w14:paraId="03CA742F" w14:textId="77777777" w:rsidTr="00321F1A">
        <w:trPr>
          <w:trHeight w:val="199"/>
        </w:trPr>
        <w:tc>
          <w:tcPr>
            <w:tcW w:w="0" w:type="auto"/>
            <w:hideMark/>
          </w:tcPr>
          <w:p w14:paraId="6E1B808A"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element gain</w:t>
            </w:r>
          </w:p>
        </w:tc>
        <w:tc>
          <w:tcPr>
            <w:tcW w:w="0" w:type="auto"/>
            <w:gridSpan w:val="2"/>
            <w:hideMark/>
          </w:tcPr>
          <w:p w14:paraId="301F2EC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0dBi</w:t>
            </w:r>
          </w:p>
        </w:tc>
      </w:tr>
      <w:tr w:rsidR="00163C62" w:rsidRPr="000413D2" w14:paraId="7BCCA084" w14:textId="77777777" w:rsidTr="00321F1A">
        <w:trPr>
          <w:trHeight w:val="199"/>
        </w:trPr>
        <w:tc>
          <w:tcPr>
            <w:tcW w:w="0" w:type="auto"/>
            <w:hideMark/>
          </w:tcPr>
          <w:p w14:paraId="7958C79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config</w:t>
            </w:r>
          </w:p>
        </w:tc>
        <w:tc>
          <w:tcPr>
            <w:tcW w:w="0" w:type="auto"/>
            <w:hideMark/>
          </w:tcPr>
          <w:p w14:paraId="5DEE9E6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(1,1,2,1,1;1,1)</w:t>
            </w:r>
          </w:p>
        </w:tc>
        <w:tc>
          <w:tcPr>
            <w:tcW w:w="0" w:type="auto"/>
            <w:hideMark/>
          </w:tcPr>
          <w:p w14:paraId="263F196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(1,2,2,1,1;1,1)</w:t>
            </w:r>
          </w:p>
        </w:tc>
      </w:tr>
      <w:tr w:rsidR="00163C62" w:rsidRPr="000413D2" w14:paraId="04879F96" w14:textId="77777777" w:rsidTr="00321F1A">
        <w:trPr>
          <w:trHeight w:val="199"/>
        </w:trPr>
        <w:tc>
          <w:tcPr>
            <w:tcW w:w="0" w:type="auto"/>
            <w:hideMark/>
          </w:tcPr>
          <w:p w14:paraId="685B9C5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Thermal noise</w:t>
            </w:r>
          </w:p>
        </w:tc>
        <w:tc>
          <w:tcPr>
            <w:tcW w:w="0" w:type="auto"/>
            <w:gridSpan w:val="2"/>
            <w:hideMark/>
          </w:tcPr>
          <w:p w14:paraId="1D8AA25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-174dBm/Hz</w:t>
            </w:r>
          </w:p>
        </w:tc>
      </w:tr>
      <w:tr w:rsidR="00541C59" w:rsidRPr="000413D2" w14:paraId="4521A9CA" w14:textId="77777777" w:rsidTr="00321F1A">
        <w:trPr>
          <w:trHeight w:val="199"/>
        </w:trPr>
        <w:tc>
          <w:tcPr>
            <w:tcW w:w="0" w:type="auto"/>
            <w:hideMark/>
          </w:tcPr>
          <w:p w14:paraId="4CF6F83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Min BS-UE distance</w:t>
            </w:r>
          </w:p>
        </w:tc>
        <w:tc>
          <w:tcPr>
            <w:tcW w:w="0" w:type="auto"/>
            <w:gridSpan w:val="2"/>
            <w:hideMark/>
          </w:tcPr>
          <w:p w14:paraId="399D90C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35m</w:t>
            </w:r>
          </w:p>
        </w:tc>
      </w:tr>
      <w:tr w:rsidR="00163C62" w:rsidRPr="000413D2" w14:paraId="5E95F1BA" w14:textId="77777777" w:rsidTr="00321F1A">
        <w:trPr>
          <w:trHeight w:val="199"/>
        </w:trPr>
        <w:tc>
          <w:tcPr>
            <w:tcW w:w="0" w:type="auto"/>
            <w:hideMark/>
          </w:tcPr>
          <w:p w14:paraId="4E26614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distribution</w:t>
            </w:r>
          </w:p>
        </w:tc>
        <w:tc>
          <w:tcPr>
            <w:tcW w:w="0" w:type="auto"/>
            <w:gridSpan w:val="2"/>
            <w:hideMark/>
          </w:tcPr>
          <w:p w14:paraId="316EA12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Uniform distribution with Outdoor (20%) and indoor (80%) (10 UEs per sector, total 570 UEs)</w:t>
            </w:r>
          </w:p>
        </w:tc>
      </w:tr>
      <w:tr w:rsidR="00321F1A" w:rsidRPr="000413D2" w14:paraId="5308429E" w14:textId="77777777" w:rsidTr="00321F1A">
        <w:trPr>
          <w:trHeight w:val="199"/>
        </w:trPr>
        <w:tc>
          <w:tcPr>
            <w:tcW w:w="0" w:type="auto"/>
            <w:vMerge w:val="restart"/>
          </w:tcPr>
          <w:p w14:paraId="065B25CC" w14:textId="77777777" w:rsidR="0022083C" w:rsidRPr="0022083C" w:rsidRDefault="0022083C" w:rsidP="0022083C">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22083C">
              <w:rPr>
                <w:rFonts w:ascii="Qualcomm Office Regular" w:eastAsia="Times New Roman" w:hAnsi="Qualcomm Office Regular" w:cs="Arial"/>
                <w:color w:val="000000"/>
                <w:kern w:val="24"/>
              </w:rPr>
              <w:t>UE transmit power</w:t>
            </w:r>
            <w:r w:rsidRPr="0022083C">
              <w:rPr>
                <w:rFonts w:ascii="Qualcomm Office Regular" w:eastAsia="Times New Roman" w:hAnsi="Qualcomm Office Regular" w:cs="Arial"/>
                <w:color w:val="000000"/>
                <w:kern w:val="24"/>
              </w:rPr>
              <w:br/>
              <w:t>(Option 1)</w:t>
            </w:r>
          </w:p>
          <w:p w14:paraId="1AE028BE" w14:textId="77777777"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2487BB78" w14:textId="5113A258"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2C1F979E" w14:textId="7947F424"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321F1A" w:rsidRPr="000413D2" w14:paraId="068ACD18" w14:textId="77777777" w:rsidTr="00321F1A">
        <w:trPr>
          <w:trHeight w:val="199"/>
        </w:trPr>
        <w:tc>
          <w:tcPr>
            <w:tcW w:w="0" w:type="auto"/>
            <w:vMerge/>
          </w:tcPr>
          <w:p w14:paraId="246346EE"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548C211"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up to 26dBm</w:t>
            </w:r>
          </w:p>
          <w:p w14:paraId="446C371B"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321F1A" w:rsidRPr="000413D2" w14:paraId="65A09C05" w14:textId="77777777" w:rsidTr="00321F1A">
        <w:trPr>
          <w:trHeight w:val="199"/>
        </w:trPr>
        <w:tc>
          <w:tcPr>
            <w:tcW w:w="0" w:type="auto"/>
            <w:vMerge w:val="restart"/>
          </w:tcPr>
          <w:p w14:paraId="540B859E"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UE transmit power (Option 2)</w:t>
            </w:r>
          </w:p>
          <w:p w14:paraId="11E6D6F6" w14:textId="77777777"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5FD149EE" w14:textId="2DA73EC8"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7B0E109F" w14:textId="04205906"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321F1A" w:rsidRPr="000413D2" w14:paraId="4D52B36E" w14:textId="77777777" w:rsidTr="00321F1A">
        <w:trPr>
          <w:trHeight w:val="199"/>
        </w:trPr>
        <w:tc>
          <w:tcPr>
            <w:tcW w:w="0" w:type="auto"/>
            <w:vMerge/>
          </w:tcPr>
          <w:p w14:paraId="57C6FA39"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127C6919"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NOT limited (i.e., up to 28dBm)</w:t>
            </w:r>
          </w:p>
          <w:p w14:paraId="79264C86" w14:textId="77777777" w:rsidR="000A360F" w:rsidRPr="00A366C3" w:rsidRDefault="000A360F" w:rsidP="00321F1A">
            <w:pPr>
              <w:overflowPunct/>
              <w:autoSpaceDE/>
              <w:autoSpaceDN/>
              <w:adjustRightInd/>
              <w:spacing w:after="0"/>
              <w:textAlignment w:val="auto"/>
              <w:rPr>
                <w:rFonts w:ascii="Qualcomm Office Regular" w:eastAsia="Times New Roman" w:hAnsi="Qualcomm Office Regular" w:cs="Arial"/>
                <w:color w:val="000000"/>
                <w:kern w:val="24"/>
              </w:rPr>
            </w:pPr>
          </w:p>
        </w:tc>
      </w:tr>
      <w:tr w:rsidR="00A45831" w:rsidRPr="000413D2" w14:paraId="7F3DB475" w14:textId="77777777" w:rsidTr="00321F1A">
        <w:trPr>
          <w:trHeight w:val="341"/>
        </w:trPr>
        <w:tc>
          <w:tcPr>
            <w:tcW w:w="0" w:type="auto"/>
          </w:tcPr>
          <w:p w14:paraId="6FEE19C6" w14:textId="67C7A247" w:rsidR="00A45831" w:rsidRPr="00321F1A" w:rsidRDefault="00A45831" w:rsidP="00321F1A">
            <w:pPr>
              <w:jc w:val="center"/>
              <w:rPr>
                <w:rFonts w:ascii="Qualcomm Office Regular" w:eastAsia="Times New Roman" w:hAnsi="Qualcomm Office Regular" w:cs="Arial"/>
                <w:kern w:val="24"/>
              </w:rPr>
            </w:pPr>
            <w:r w:rsidRPr="00321F1A">
              <w:rPr>
                <w:rFonts w:ascii="Qualcomm Office Regular" w:hAnsi="Qualcomm Office Regular" w:cs="Arial"/>
                <w:kern w:val="24"/>
              </w:rPr>
              <w:t>Fractional TPC</w:t>
            </w:r>
          </w:p>
        </w:tc>
        <w:tc>
          <w:tcPr>
            <w:tcW w:w="0" w:type="auto"/>
          </w:tcPr>
          <w:p w14:paraId="1C5FC136" w14:textId="2971FFA0" w:rsidR="00A45831" w:rsidRPr="00321F1A" w:rsidRDefault="001516EE" w:rsidP="009B51D7">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alpha = 0.8</w:t>
            </w:r>
          </w:p>
        </w:tc>
        <w:tc>
          <w:tcPr>
            <w:tcW w:w="0" w:type="auto"/>
          </w:tcPr>
          <w:p w14:paraId="2083E6E5" w14:textId="16F6776F" w:rsidR="00A45831" w:rsidRPr="00321F1A" w:rsidRDefault="001516EE" w:rsidP="00321F1A">
            <w:pPr>
              <w:jc w:val="center"/>
              <w:rPr>
                <w:rFonts w:ascii="Qualcomm Office Regular" w:eastAsia="Times New Roman" w:hAnsi="Qualcomm Office Regular" w:cs="Arial"/>
                <w:kern w:val="24"/>
              </w:rPr>
            </w:pPr>
            <w:r w:rsidRPr="00321F1A">
              <w:rPr>
                <w:rFonts w:ascii="Qualcomm Office Regular" w:hAnsi="Qualcomm Office Regular" w:cs="Arial"/>
                <w:kern w:val="24"/>
              </w:rPr>
              <w:t>alpha = 0.8</w:t>
            </w:r>
          </w:p>
        </w:tc>
      </w:tr>
      <w:tr w:rsidR="00321F1A" w:rsidRPr="000413D2" w14:paraId="3EB546BD" w14:textId="77777777" w:rsidTr="00321F1A">
        <w:trPr>
          <w:trHeight w:val="199"/>
        </w:trPr>
        <w:tc>
          <w:tcPr>
            <w:tcW w:w="0" w:type="auto"/>
            <w:vMerge w:val="restart"/>
          </w:tcPr>
          <w:p w14:paraId="024A23A7"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UL-MIMO</w:t>
            </w:r>
          </w:p>
          <w:p w14:paraId="2A726286" w14:textId="77777777" w:rsidR="00CF02BA" w:rsidRPr="00A366C3"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013A8839" w14:textId="4CC88C89" w:rsidR="00CF02BA" w:rsidRPr="00321F1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lastRenderedPageBreak/>
              <w:t>1L</w:t>
            </w:r>
          </w:p>
        </w:tc>
        <w:tc>
          <w:tcPr>
            <w:tcW w:w="0" w:type="auto"/>
          </w:tcPr>
          <w:p w14:paraId="3D88A882" w14:textId="44C434FE" w:rsidR="00CF02BA" w:rsidRPr="00321F1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1L or 2L</w:t>
            </w:r>
          </w:p>
        </w:tc>
      </w:tr>
      <w:tr w:rsidR="00321F1A" w:rsidRPr="000413D2" w14:paraId="3171BDED" w14:textId="77777777" w:rsidTr="00321F1A">
        <w:trPr>
          <w:trHeight w:val="199"/>
        </w:trPr>
        <w:tc>
          <w:tcPr>
            <w:tcW w:w="0" w:type="auto"/>
            <w:vMerge/>
          </w:tcPr>
          <w:p w14:paraId="291DC4B2"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F70B237" w14:textId="241F996F" w:rsidR="0021498B" w:rsidRPr="00A366C3" w:rsidRDefault="008C2FB6"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eastAsia="Times New Roman" w:hAnsi="Qualcomm Office Regular" w:cs="Arial"/>
                <w:color w:val="000000"/>
                <w:kern w:val="24"/>
              </w:rPr>
              <w:t>Totally up to 3 layers</w:t>
            </w:r>
          </w:p>
        </w:tc>
      </w:tr>
      <w:tr w:rsidR="00AB50C4" w:rsidRPr="000413D2" w14:paraId="3C96F44C" w14:textId="77777777" w:rsidTr="00321F1A">
        <w:trPr>
          <w:trHeight w:val="199"/>
        </w:trPr>
        <w:tc>
          <w:tcPr>
            <w:tcW w:w="0" w:type="auto"/>
          </w:tcPr>
          <w:p w14:paraId="3B2BE32C"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TDD config</w:t>
            </w:r>
          </w:p>
          <w:p w14:paraId="6C316312"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3DB2A1F3"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1C757DCB" w14:textId="77777777" w:rsidR="00BC3912" w:rsidRPr="00BC3912" w:rsidRDefault="00BC3912" w:rsidP="00BC391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BC3912">
              <w:rPr>
                <w:rFonts w:ascii="Qualcomm Office Regular" w:eastAsia="Times New Roman" w:hAnsi="Qualcomm Office Regular" w:cs="Arial"/>
                <w:color w:val="000000"/>
                <w:kern w:val="24"/>
              </w:rPr>
              <w:t>DDDSUDDSUU with S={10:2:2}</w:t>
            </w:r>
          </w:p>
          <w:p w14:paraId="08FBBD39"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21498B" w:rsidRPr="000413D2" w14:paraId="252872FF" w14:textId="77777777" w:rsidTr="00321F1A">
        <w:trPr>
          <w:trHeight w:val="199"/>
        </w:trPr>
        <w:tc>
          <w:tcPr>
            <w:tcW w:w="0" w:type="auto"/>
          </w:tcPr>
          <w:p w14:paraId="374EE8E3" w14:textId="77777777" w:rsidR="00163C62" w:rsidRPr="00163C62" w:rsidRDefault="00163C62" w:rsidP="00163C6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163C62">
              <w:rPr>
                <w:rFonts w:ascii="Qualcomm Office Regular" w:eastAsia="Times New Roman" w:hAnsi="Qualcomm Office Regular" w:cs="Arial"/>
                <w:color w:val="000000"/>
                <w:kern w:val="24"/>
              </w:rPr>
              <w:t>Traffic model</w:t>
            </w:r>
          </w:p>
          <w:p w14:paraId="7B4DFD77"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37B0A8AE" w14:textId="77777777" w:rsidR="00400E45" w:rsidRPr="00400E45" w:rsidRDefault="00400E45" w:rsidP="004D36C0">
            <w:pPr>
              <w:numPr>
                <w:ilvl w:val="0"/>
                <w:numId w:val="27"/>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Full-buffer (10 UEs/sector)</w:t>
            </w:r>
          </w:p>
          <w:p w14:paraId="2D4758DA" w14:textId="77777777" w:rsidR="0021498B" w:rsidRPr="00A366C3" w:rsidRDefault="0021498B" w:rsidP="00321F1A">
            <w:pPr>
              <w:overflowPunct/>
              <w:autoSpaceDE/>
              <w:autoSpaceDN/>
              <w:adjustRightInd/>
              <w:spacing w:after="0"/>
              <w:textAlignment w:val="auto"/>
              <w:rPr>
                <w:rFonts w:ascii="Qualcomm Office Regular" w:eastAsia="Times New Roman" w:hAnsi="Qualcomm Office Regular" w:cs="Arial"/>
                <w:color w:val="000000"/>
                <w:kern w:val="24"/>
              </w:rPr>
            </w:pPr>
          </w:p>
        </w:tc>
      </w:tr>
      <w:tr w:rsidR="0021498B" w:rsidRPr="000413D2" w14:paraId="70993AEA" w14:textId="77777777" w:rsidTr="00321F1A">
        <w:trPr>
          <w:trHeight w:val="199"/>
        </w:trPr>
        <w:tc>
          <w:tcPr>
            <w:tcW w:w="0" w:type="auto"/>
          </w:tcPr>
          <w:p w14:paraId="4A702DFF"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UL scheduler</w:t>
            </w:r>
          </w:p>
          <w:p w14:paraId="30C1E198"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06972CAA" w14:textId="5C138E17" w:rsidR="0021498B" w:rsidRPr="00A366C3" w:rsidRDefault="00400E45" w:rsidP="004D36C0">
            <w:pPr>
              <w:numPr>
                <w:ilvl w:val="0"/>
                <w:numId w:val="28"/>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PF across UEs</w:t>
            </w:r>
          </w:p>
        </w:tc>
      </w:tr>
      <w:tr w:rsidR="00AB50C4" w:rsidRPr="000413D2" w14:paraId="1AA5E842" w14:textId="77777777" w:rsidTr="00321F1A">
        <w:trPr>
          <w:trHeight w:val="199"/>
        </w:trPr>
        <w:tc>
          <w:tcPr>
            <w:tcW w:w="0" w:type="auto"/>
          </w:tcPr>
          <w:p w14:paraId="2D165481"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CB4A3CB"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8FC85CD" w14:textId="77777777" w:rsidR="00AB50C4" w:rsidRPr="00A366C3" w:rsidRDefault="00AB50C4" w:rsidP="00321F1A">
            <w:pPr>
              <w:keepNext/>
              <w:overflowPunct/>
              <w:autoSpaceDE/>
              <w:autoSpaceDN/>
              <w:adjustRightInd/>
              <w:spacing w:after="0"/>
              <w:jc w:val="center"/>
              <w:textAlignment w:val="auto"/>
              <w:rPr>
                <w:rFonts w:ascii="Qualcomm Office Regular" w:eastAsia="Times New Roman" w:hAnsi="Qualcomm Office Regular" w:cs="Arial"/>
                <w:color w:val="000000"/>
                <w:kern w:val="24"/>
              </w:rPr>
            </w:pPr>
          </w:p>
        </w:tc>
      </w:tr>
    </w:tbl>
    <w:p w14:paraId="5E429120" w14:textId="1A40D1A4" w:rsidR="008556A1" w:rsidRPr="00321F1A" w:rsidRDefault="005B4497" w:rsidP="00321F1A">
      <w:pPr>
        <w:pStyle w:val="Caption"/>
        <w:jc w:val="center"/>
        <w:rPr>
          <w:color w:val="000000" w:themeColor="text1"/>
          <w:sz w:val="24"/>
          <w:szCs w:val="24"/>
          <w:lang w:eastAsia="zh-CN"/>
        </w:rPr>
      </w:pPr>
      <w:r w:rsidRPr="00321F1A">
        <w:rPr>
          <w:color w:val="000000" w:themeColor="text1"/>
          <w:sz w:val="24"/>
          <w:szCs w:val="24"/>
        </w:rPr>
        <w:t xml:space="preserve">Figure </w:t>
      </w:r>
      <w:r w:rsidRPr="00321F1A">
        <w:rPr>
          <w:color w:val="000000" w:themeColor="text1"/>
          <w:sz w:val="24"/>
          <w:szCs w:val="24"/>
        </w:rPr>
        <w:fldChar w:fldCharType="begin"/>
      </w:r>
      <w:r w:rsidRPr="00321F1A">
        <w:rPr>
          <w:color w:val="000000" w:themeColor="text1"/>
          <w:sz w:val="24"/>
          <w:szCs w:val="24"/>
        </w:rPr>
        <w:instrText xml:space="preserve"> SEQ Figure \* ARABIC </w:instrText>
      </w:r>
      <w:r w:rsidRPr="00321F1A">
        <w:rPr>
          <w:color w:val="000000" w:themeColor="text1"/>
          <w:sz w:val="24"/>
          <w:szCs w:val="24"/>
        </w:rPr>
        <w:fldChar w:fldCharType="separate"/>
      </w:r>
      <w:r w:rsidR="00EA7EC4">
        <w:rPr>
          <w:noProof/>
          <w:color w:val="000000" w:themeColor="text1"/>
          <w:sz w:val="24"/>
          <w:szCs w:val="24"/>
        </w:rPr>
        <w:t>30</w:t>
      </w:r>
      <w:r w:rsidRPr="00321F1A">
        <w:rPr>
          <w:color w:val="000000" w:themeColor="text1"/>
          <w:sz w:val="24"/>
          <w:szCs w:val="24"/>
        </w:rPr>
        <w:fldChar w:fldCharType="end"/>
      </w:r>
      <w:r w:rsidRPr="00321F1A">
        <w:rPr>
          <w:color w:val="000000" w:themeColor="text1"/>
          <w:sz w:val="24"/>
          <w:szCs w:val="24"/>
        </w:rPr>
        <w:t xml:space="preserve"> List of parameters used in system-level simulations to illustrate benefit of high power transmissions in uplink CA</w:t>
      </w:r>
    </w:p>
    <w:p w14:paraId="3942F34B" w14:textId="3AF0E559" w:rsidR="00475BA0" w:rsidRDefault="00475BA0" w:rsidP="00012A23">
      <w:pPr>
        <w:rPr>
          <w:lang w:val="en-GB" w:eastAsia="zh-CN"/>
        </w:rPr>
      </w:pPr>
    </w:p>
    <w:p w14:paraId="469B672A" w14:textId="77777777" w:rsidR="00475BA0" w:rsidRDefault="00475BA0" w:rsidP="00012A23">
      <w:pPr>
        <w:rPr>
          <w:lang w:val="en-GB" w:eastAsia="zh-CN"/>
        </w:rPr>
      </w:pPr>
    </w:p>
    <w:p w14:paraId="2C2686AD" w14:textId="77777777" w:rsidR="00A12676" w:rsidRDefault="00390E8B" w:rsidP="00321F1A">
      <w:pPr>
        <w:keepNext/>
        <w:jc w:val="center"/>
      </w:pPr>
      <w:r>
        <w:rPr>
          <w:noProof/>
        </w:rPr>
        <w:drawing>
          <wp:inline distT="0" distB="0" distL="0" distR="0" wp14:anchorId="7DCC3DA2" wp14:editId="1492BA0E">
            <wp:extent cx="5943600" cy="2948940"/>
            <wp:effectExtent l="0" t="0" r="0" b="3810"/>
            <wp:docPr id="10" name="Picture 1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pic:nvPicPr>
                  <pic:blipFill>
                    <a:blip r:embed="rId48"/>
                    <a:stretch>
                      <a:fillRect/>
                    </a:stretch>
                  </pic:blipFill>
                  <pic:spPr>
                    <a:xfrm>
                      <a:off x="0" y="0"/>
                      <a:ext cx="5943600" cy="2948940"/>
                    </a:xfrm>
                    <a:prstGeom prst="rect">
                      <a:avLst/>
                    </a:prstGeom>
                  </pic:spPr>
                </pic:pic>
              </a:graphicData>
            </a:graphic>
          </wp:inline>
        </w:drawing>
      </w:r>
    </w:p>
    <w:p w14:paraId="5D096B52" w14:textId="15944358" w:rsidR="00A12676" w:rsidRDefault="00A12676" w:rsidP="00321F1A">
      <w:pPr>
        <w:pStyle w:val="Caption"/>
        <w:jc w:val="center"/>
      </w:pPr>
      <w:r>
        <w:t xml:space="preserve">Figure </w:t>
      </w:r>
      <w:r>
        <w:fldChar w:fldCharType="begin"/>
      </w:r>
      <w:r>
        <w:instrText xml:space="preserve"> SEQ Figure \* ARABIC </w:instrText>
      </w:r>
      <w:r>
        <w:fldChar w:fldCharType="separate"/>
      </w:r>
      <w:r w:rsidR="00EA7EC4">
        <w:rPr>
          <w:noProof/>
        </w:rPr>
        <w:t>31</w:t>
      </w:r>
      <w:r>
        <w:fldChar w:fldCharType="end"/>
      </w:r>
      <w:r>
        <w:t xml:space="preserve"> Impact of increase uplink transmit power on cell-edge throughput</w:t>
      </w:r>
    </w:p>
    <w:p w14:paraId="4E3F46DF" w14:textId="43E67E2F" w:rsidR="008556A1" w:rsidRDefault="008556A1" w:rsidP="00321F1A">
      <w:pPr>
        <w:jc w:val="center"/>
        <w:rPr>
          <w:lang w:val="en-GB" w:eastAsia="zh-CN"/>
        </w:rPr>
      </w:pPr>
    </w:p>
    <w:p w14:paraId="375B9968" w14:textId="085AC34E" w:rsidR="00632824" w:rsidRDefault="00574A66" w:rsidP="00321F1A">
      <w:pPr>
        <w:jc w:val="both"/>
        <w:rPr>
          <w:lang w:val="en-GB" w:eastAsia="zh-CN"/>
        </w:rPr>
      </w:pPr>
      <w:r>
        <w:rPr>
          <w:lang w:val="en-GB" w:eastAsia="zh-CN"/>
        </w:rPr>
        <w:t>The CDF of uplink mean throughput</w:t>
      </w:r>
      <w:r w:rsidR="00475BA0">
        <w:rPr>
          <w:lang w:val="en-GB" w:eastAsia="zh-CN"/>
        </w:rPr>
        <w:t xml:space="preserve"> </w:t>
      </w:r>
      <w:r w:rsidR="00CE6194">
        <w:rPr>
          <w:lang w:val="en-GB" w:eastAsia="zh-CN"/>
        </w:rPr>
        <w:t>in plotted in Fig. X</w:t>
      </w:r>
      <w:r w:rsidR="00925F77">
        <w:rPr>
          <w:lang w:val="en-GB" w:eastAsia="zh-CN"/>
        </w:rPr>
        <w:t xml:space="preserve"> for two scenarios: one where the sum power is limited to 26 dBm and the other where the sum-power can go up to </w:t>
      </w:r>
      <w:r w:rsidR="00A22E8F">
        <w:rPr>
          <w:lang w:val="en-GB" w:eastAsia="zh-CN"/>
        </w:rPr>
        <w:t>28 dBm</w:t>
      </w:r>
      <w:r w:rsidR="00CD16C7">
        <w:rPr>
          <w:lang w:val="en-GB" w:eastAsia="zh-CN"/>
        </w:rPr>
        <w:t xml:space="preserve">. </w:t>
      </w:r>
      <w:r w:rsidR="00015676">
        <w:rPr>
          <w:lang w:val="en-GB" w:eastAsia="zh-CN"/>
        </w:rPr>
        <w:t>When</w:t>
      </w:r>
      <w:r w:rsidR="00FB31BA">
        <w:rPr>
          <w:lang w:val="en-GB" w:eastAsia="zh-CN"/>
        </w:rPr>
        <w:t xml:space="preserve"> </w:t>
      </w:r>
      <w:r w:rsidR="00D41042">
        <w:rPr>
          <w:lang w:val="en-GB" w:eastAsia="zh-CN"/>
        </w:rPr>
        <w:t>sum-power limit is increased, the throughput of cell-edge UEs increases</w:t>
      </w:r>
      <w:r w:rsidR="00074AEF">
        <w:rPr>
          <w:lang w:val="en-GB" w:eastAsia="zh-CN"/>
        </w:rPr>
        <w:t>. In particular, for 5</w:t>
      </w:r>
      <w:r w:rsidR="00074AEF" w:rsidRPr="00321F1A">
        <w:rPr>
          <w:vertAlign w:val="superscript"/>
          <w:lang w:val="en-GB" w:eastAsia="zh-CN"/>
        </w:rPr>
        <w:t>th</w:t>
      </w:r>
      <w:r w:rsidR="00074AEF">
        <w:rPr>
          <w:lang w:val="en-GB" w:eastAsia="zh-CN"/>
        </w:rPr>
        <w:t xml:space="preserve"> percentile UEs, the total uplink throughput increases by a factor of </w:t>
      </w:r>
      <w:r w:rsidR="0071675C">
        <w:rPr>
          <w:lang w:val="en-GB" w:eastAsia="zh-CN"/>
        </w:rPr>
        <w:t>3. As expected, cell-</w:t>
      </w:r>
      <w:r w:rsidR="00015676">
        <w:rPr>
          <w:lang w:val="en-GB" w:eastAsia="zh-CN"/>
        </w:rPr>
        <w:t>centre</w:t>
      </w:r>
      <w:r w:rsidR="0071675C">
        <w:rPr>
          <w:lang w:val="en-GB" w:eastAsia="zh-CN"/>
        </w:rPr>
        <w:t xml:space="preserve"> UEs do not benefit much from the increase in </w:t>
      </w:r>
      <w:r w:rsidR="00806F9E">
        <w:rPr>
          <w:lang w:val="en-GB" w:eastAsia="zh-CN"/>
        </w:rPr>
        <w:t xml:space="preserve">total transmit power. </w:t>
      </w:r>
    </w:p>
    <w:p w14:paraId="76B1602F" w14:textId="519EA0D3" w:rsidR="00012A23" w:rsidRDefault="00012A23" w:rsidP="007B24F7">
      <w:pPr>
        <w:jc w:val="both"/>
        <w:rPr>
          <w:lang w:val="en-GB" w:eastAsia="zh-CN"/>
        </w:rPr>
      </w:pPr>
    </w:p>
    <w:tbl>
      <w:tblPr>
        <w:tblStyle w:val="TableGrid"/>
        <w:tblW w:w="0" w:type="auto"/>
        <w:tblLook w:val="04A0" w:firstRow="1" w:lastRow="0" w:firstColumn="1" w:lastColumn="0" w:noHBand="0" w:noVBand="1"/>
      </w:tblPr>
      <w:tblGrid>
        <w:gridCol w:w="9350"/>
      </w:tblGrid>
      <w:tr w:rsidR="004977AD" w14:paraId="7BE43B8A" w14:textId="77777777" w:rsidTr="004977AD">
        <w:tc>
          <w:tcPr>
            <w:tcW w:w="9350" w:type="dxa"/>
          </w:tcPr>
          <w:p w14:paraId="63B3983D" w14:textId="046216AC" w:rsidR="004977AD" w:rsidRDefault="004977AD" w:rsidP="007B24F7">
            <w:pPr>
              <w:jc w:val="both"/>
              <w:rPr>
                <w:lang w:eastAsia="ja-JP"/>
              </w:rPr>
            </w:pPr>
            <w:r w:rsidRPr="00B87DE4">
              <w:rPr>
                <w:b/>
                <w:bCs/>
                <w:lang w:eastAsia="ja-JP"/>
              </w:rPr>
              <w:t>Observation</w:t>
            </w:r>
            <w:r w:rsidR="002A39E1">
              <w:rPr>
                <w:b/>
                <w:bCs/>
                <w:lang w:eastAsia="ja-JP"/>
              </w:rPr>
              <w:t xml:space="preserve"> 1</w:t>
            </w:r>
            <w:r w:rsidR="003D5A5F">
              <w:rPr>
                <w:b/>
                <w:bCs/>
                <w:lang w:eastAsia="ja-JP"/>
              </w:rPr>
              <w:t>9</w:t>
            </w:r>
            <w:r w:rsidR="00725B7B">
              <w:rPr>
                <w:b/>
                <w:bCs/>
                <w:lang w:eastAsia="ja-JP"/>
              </w:rPr>
              <w:t>:</w:t>
            </w:r>
            <w:r>
              <w:rPr>
                <w:lang w:eastAsia="ja-JP"/>
              </w:rPr>
              <w:t xml:space="preserve"> Higher-power limit for inter-band UL-CA benefits the cell-edge UEs by reducing the impact of power sharing across simultaneous transmissions over multiple carriers and enhances the UE throughput.</w:t>
            </w:r>
          </w:p>
        </w:tc>
      </w:tr>
    </w:tbl>
    <w:p w14:paraId="79DAA307" w14:textId="77777777" w:rsidR="004977AD" w:rsidRDefault="004977AD" w:rsidP="00321F1A">
      <w:pPr>
        <w:jc w:val="both"/>
        <w:rPr>
          <w:lang w:val="en-GB" w:eastAsia="zh-CN"/>
        </w:rPr>
      </w:pPr>
    </w:p>
    <w:p w14:paraId="385F8D2A" w14:textId="77777777" w:rsidR="00F05493" w:rsidRDefault="00F05493" w:rsidP="00F05493">
      <w:pPr>
        <w:pStyle w:val="Heading3"/>
        <w:rPr>
          <w:lang w:eastAsia="zh-CN"/>
        </w:rPr>
      </w:pPr>
      <w:r>
        <w:rPr>
          <w:lang w:eastAsia="zh-CN"/>
        </w:rPr>
        <w:t>Enhancements to Power Headroom Reporting</w:t>
      </w:r>
    </w:p>
    <w:p w14:paraId="6D10E618" w14:textId="60A32483" w:rsidR="00CA3266" w:rsidRDefault="00CA3266" w:rsidP="00321F1A">
      <w:pPr>
        <w:jc w:val="both"/>
        <w:rPr>
          <w:lang w:val="en-GB" w:eastAsia="zh-CN"/>
        </w:rPr>
      </w:pPr>
      <w:r>
        <w:rPr>
          <w:lang w:val="en-GB" w:eastAsia="zh-CN"/>
        </w:rPr>
        <w:t xml:space="preserve">To address some of the drawbacks highlighted in the earlier section, we propose </w:t>
      </w:r>
      <w:r w:rsidR="00BA0E9C">
        <w:rPr>
          <w:lang w:val="en-GB" w:eastAsia="zh-CN"/>
        </w:rPr>
        <w:t xml:space="preserve">some changes to power headroom reporting that can facilitate </w:t>
      </w:r>
      <w:r w:rsidR="002A7882">
        <w:rPr>
          <w:lang w:val="en-GB" w:eastAsia="zh-CN"/>
        </w:rPr>
        <w:t>smoother, more efficient UL-CA.</w:t>
      </w:r>
    </w:p>
    <w:p w14:paraId="7871915E" w14:textId="017B9B56" w:rsidR="002A7882" w:rsidRDefault="00F05493" w:rsidP="00FE6796">
      <w:pPr>
        <w:jc w:val="both"/>
        <w:rPr>
          <w:lang w:val="en-GB" w:eastAsia="zh-CN"/>
        </w:rPr>
      </w:pPr>
      <w:r>
        <w:rPr>
          <w:lang w:val="en-GB" w:eastAsia="zh-CN"/>
        </w:rPr>
        <w:t>First,</w:t>
      </w:r>
      <w:r w:rsidR="002A7882">
        <w:rPr>
          <w:lang w:val="en-GB" w:eastAsia="zh-CN"/>
        </w:rPr>
        <w:t xml:space="preserve"> we propose that P-MPR be reported </w:t>
      </w:r>
      <w:r w:rsidR="00733406">
        <w:rPr>
          <w:lang w:val="en-GB" w:eastAsia="zh-CN"/>
        </w:rPr>
        <w:t xml:space="preserve">for FR1 carriers as well. This offers the gNB some indication of the transmit power constraints currently in play at the UE. </w:t>
      </w:r>
      <w:r w:rsidR="00E455AA">
        <w:rPr>
          <w:lang w:val="en-GB" w:eastAsia="zh-CN"/>
        </w:rPr>
        <w:t>While it doesn’t quite indicate how this may change in the future, its nevertheless a useful piece of information for the gNB to factor into its overall scheduling framework.</w:t>
      </w:r>
    </w:p>
    <w:tbl>
      <w:tblPr>
        <w:tblStyle w:val="TableGrid"/>
        <w:tblW w:w="0" w:type="auto"/>
        <w:tblLook w:val="04A0" w:firstRow="1" w:lastRow="0" w:firstColumn="1" w:lastColumn="0" w:noHBand="0" w:noVBand="1"/>
      </w:tblPr>
      <w:tblGrid>
        <w:gridCol w:w="9350"/>
      </w:tblGrid>
      <w:tr w:rsidR="002667F6" w14:paraId="793E4682" w14:textId="77777777" w:rsidTr="002667F6">
        <w:tc>
          <w:tcPr>
            <w:tcW w:w="9350" w:type="dxa"/>
          </w:tcPr>
          <w:p w14:paraId="29BAAAFC" w14:textId="7716855E" w:rsidR="002667F6" w:rsidRDefault="002667F6" w:rsidP="00321F1A">
            <w:pPr>
              <w:rPr>
                <w:lang w:eastAsia="zh-CN"/>
              </w:rPr>
            </w:pPr>
            <w:r w:rsidRPr="00B87DE4">
              <w:rPr>
                <w:b/>
                <w:bCs/>
                <w:lang w:eastAsia="zh-CN"/>
              </w:rPr>
              <w:lastRenderedPageBreak/>
              <w:t>Proposal</w:t>
            </w:r>
            <w:r>
              <w:rPr>
                <w:b/>
                <w:bCs/>
                <w:lang w:eastAsia="zh-CN"/>
              </w:rPr>
              <w:t xml:space="preserve"> </w:t>
            </w:r>
            <w:r w:rsidR="00B651B7">
              <w:rPr>
                <w:b/>
                <w:bCs/>
                <w:lang w:eastAsia="zh-CN"/>
              </w:rPr>
              <w:t>1</w:t>
            </w:r>
            <w:r w:rsidR="00082329">
              <w:rPr>
                <w:b/>
                <w:bCs/>
                <w:lang w:eastAsia="zh-CN"/>
              </w:rPr>
              <w:t>3</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tc>
      </w:tr>
    </w:tbl>
    <w:p w14:paraId="452437DF" w14:textId="5446BDE5" w:rsidR="002667F6" w:rsidRDefault="002667F6" w:rsidP="00321F1A">
      <w:pPr>
        <w:jc w:val="both"/>
        <w:rPr>
          <w:lang w:val="en-GB" w:eastAsia="zh-CN"/>
        </w:rPr>
      </w:pPr>
    </w:p>
    <w:p w14:paraId="38EFE650" w14:textId="27D0CC71" w:rsidR="000D6F15" w:rsidRDefault="000D6F15" w:rsidP="00321F1A">
      <w:pPr>
        <w:jc w:val="both"/>
        <w:rPr>
          <w:lang w:val="en-GB" w:eastAsia="zh-CN"/>
        </w:rPr>
      </w:pPr>
      <w:r>
        <w:rPr>
          <w:lang w:val="en-GB" w:eastAsia="zh-CN"/>
        </w:rPr>
        <w:t xml:space="preserve">Second, it is noticed that </w:t>
      </w:r>
      <w:r w:rsidR="00727649">
        <w:rPr>
          <w:lang w:val="en-GB" w:eastAsia="zh-CN"/>
        </w:rPr>
        <w:t xml:space="preserve">when a UE reports PHR using a reference PUSCH (via multiple PHR </w:t>
      </w:r>
      <w:r w:rsidR="00C23781">
        <w:rPr>
          <w:lang w:val="en-GB" w:eastAsia="zh-CN"/>
        </w:rPr>
        <w:t xml:space="preserve">IE), the UE is only required to report the power headroom </w:t>
      </w:r>
      <w:r w:rsidR="003E395F">
        <w:rPr>
          <w:lang w:val="en-GB" w:eastAsia="zh-CN"/>
        </w:rPr>
        <w:t xml:space="preserve">value and is expected to compute this without </w:t>
      </w:r>
      <w:r w:rsidR="00190999">
        <w:rPr>
          <w:lang w:val="en-GB" w:eastAsia="zh-CN"/>
        </w:rPr>
        <w:t xml:space="preserve">taking MPR, A-MPR and P-MPR into consideration. While such a report may help a gNB infer pathloss information, it is not helpful </w:t>
      </w:r>
      <w:r w:rsidR="00463701">
        <w:rPr>
          <w:lang w:val="en-GB" w:eastAsia="zh-CN"/>
        </w:rPr>
        <w:t xml:space="preserve">for the UE to convey power availability on a band. </w:t>
      </w:r>
      <w:r w:rsidR="00702E69">
        <w:rPr>
          <w:lang w:val="en-GB" w:eastAsia="zh-CN"/>
        </w:rPr>
        <w:t xml:space="preserve">It would be more meaningful to let the UE take </w:t>
      </w:r>
      <w:r w:rsidR="00BF6601">
        <w:rPr>
          <w:lang w:val="en-GB" w:eastAsia="zh-CN"/>
        </w:rPr>
        <w:t xml:space="preserve">P-MPR into account when reporting PHR using </w:t>
      </w:r>
      <w:r w:rsidR="003553CE">
        <w:rPr>
          <w:lang w:val="en-GB" w:eastAsia="zh-CN"/>
        </w:rPr>
        <w:t>reference PUSCH.</w:t>
      </w:r>
    </w:p>
    <w:tbl>
      <w:tblPr>
        <w:tblStyle w:val="TableGrid"/>
        <w:tblW w:w="0" w:type="auto"/>
        <w:tblLook w:val="04A0" w:firstRow="1" w:lastRow="0" w:firstColumn="1" w:lastColumn="0" w:noHBand="0" w:noVBand="1"/>
      </w:tblPr>
      <w:tblGrid>
        <w:gridCol w:w="9350"/>
      </w:tblGrid>
      <w:tr w:rsidR="003553CE" w14:paraId="1331F65C" w14:textId="77777777" w:rsidTr="003553CE">
        <w:tc>
          <w:tcPr>
            <w:tcW w:w="9350" w:type="dxa"/>
          </w:tcPr>
          <w:p w14:paraId="6C159640" w14:textId="528836B9" w:rsidR="003553CE" w:rsidRDefault="003553CE" w:rsidP="003553CE">
            <w:pPr>
              <w:jc w:val="both"/>
              <w:rPr>
                <w:lang w:eastAsia="zh-CN"/>
              </w:rPr>
            </w:pPr>
            <w:r w:rsidRPr="002D70EA">
              <w:rPr>
                <w:b/>
                <w:bCs/>
                <w:lang w:eastAsia="zh-CN"/>
              </w:rPr>
              <w:t>Proposal</w:t>
            </w:r>
            <w:r w:rsidR="00BD50AC">
              <w:rPr>
                <w:b/>
                <w:bCs/>
                <w:lang w:eastAsia="zh-CN"/>
              </w:rPr>
              <w:t xml:space="preserve"> 1</w:t>
            </w:r>
            <w:r w:rsidR="00082329">
              <w:rPr>
                <w:b/>
                <w:bCs/>
                <w:lang w:eastAsia="zh-CN"/>
              </w:rPr>
              <w:t>4</w:t>
            </w:r>
            <w:r w:rsidRPr="002D70EA">
              <w:rPr>
                <w:b/>
                <w:bCs/>
                <w:lang w:eastAsia="zh-CN"/>
              </w:rPr>
              <w:t>:</w:t>
            </w:r>
            <w:r>
              <w:rPr>
                <w:lang w:eastAsia="zh-CN"/>
              </w:rPr>
              <w:t xml:space="preserve"> When computing PHR based on a reference PUSCH, allow a UE to set P-MPR to a non-zero value and allow the UE to report the resulting Pcmax.</w:t>
            </w:r>
          </w:p>
        </w:tc>
      </w:tr>
    </w:tbl>
    <w:p w14:paraId="103FDF46" w14:textId="77777777" w:rsidR="003553CE" w:rsidRDefault="003553CE" w:rsidP="00321F1A">
      <w:pPr>
        <w:jc w:val="both"/>
        <w:rPr>
          <w:lang w:val="en-GB" w:eastAsia="zh-CN"/>
        </w:rPr>
      </w:pPr>
    </w:p>
    <w:p w14:paraId="15896A74" w14:textId="1694E307" w:rsidR="00C8327C" w:rsidRDefault="002D70EA" w:rsidP="00566BA6">
      <w:pPr>
        <w:jc w:val="both"/>
        <w:rPr>
          <w:lang w:eastAsia="zh-CN"/>
        </w:rPr>
      </w:pPr>
      <w:r>
        <w:rPr>
          <w:lang w:val="en-GB" w:eastAsia="zh-CN"/>
        </w:rPr>
        <w:t>Third</w:t>
      </w:r>
      <w:r w:rsidR="00F5149B">
        <w:rPr>
          <w:lang w:val="en-GB" w:eastAsia="zh-CN"/>
        </w:rPr>
        <w:t xml:space="preserve">, </w:t>
      </w:r>
      <w:r w:rsidR="00B33E50">
        <w:rPr>
          <w:lang w:val="en-GB" w:eastAsia="zh-CN"/>
        </w:rPr>
        <w:t xml:space="preserve">it is </w:t>
      </w:r>
      <w:r w:rsidR="003A68FA">
        <w:rPr>
          <w:lang w:val="en-GB" w:eastAsia="zh-CN"/>
        </w:rPr>
        <w:t xml:space="preserve">noticed that in 5G NR deployments, </w:t>
      </w:r>
      <w:r w:rsidR="003A68FA" w:rsidRPr="003A68FA">
        <w:rPr>
          <w:lang w:eastAsia="zh-CN"/>
        </w:rPr>
        <w:t xml:space="preserve">it is common for a UE to be configured with DL-CA across carriers in different bands, but for uplink, the UE is typically configured just </w:t>
      </w:r>
      <w:r w:rsidR="00C8327C">
        <w:rPr>
          <w:lang w:eastAsia="zh-CN"/>
        </w:rPr>
        <w:t xml:space="preserve">a smaller subset of </w:t>
      </w:r>
      <w:r w:rsidR="003A68FA" w:rsidRPr="003A68FA">
        <w:rPr>
          <w:lang w:eastAsia="zh-CN"/>
        </w:rPr>
        <w:t>carrier</w:t>
      </w:r>
      <w:r w:rsidR="00C8327C">
        <w:rPr>
          <w:lang w:eastAsia="zh-CN"/>
        </w:rPr>
        <w:t>s.</w:t>
      </w:r>
      <w:r w:rsidR="003E1627">
        <w:rPr>
          <w:lang w:eastAsia="zh-CN"/>
        </w:rPr>
        <w:t xml:space="preserve"> </w:t>
      </w:r>
      <w:r w:rsidR="00C8327C" w:rsidRPr="00C8327C">
        <w:rPr>
          <w:lang w:eastAsia="zh-CN"/>
        </w:rPr>
        <w:t>This put</w:t>
      </w:r>
      <w:r w:rsidR="003E1627">
        <w:rPr>
          <w:lang w:eastAsia="zh-CN"/>
        </w:rPr>
        <w:t>s</w:t>
      </w:r>
      <w:r w:rsidR="00C8327C" w:rsidRPr="00C8327C">
        <w:rPr>
          <w:lang w:eastAsia="zh-CN"/>
        </w:rPr>
        <w:t xml:space="preserve"> the UE in a situation where the UE is monitoring and making measurements across different carriers to ensure downlink reception stays robust, but these measurements are not put to any good use for uplink in these carriers</w:t>
      </w:r>
      <w:r w:rsidR="00D33725">
        <w:rPr>
          <w:lang w:eastAsia="zh-CN"/>
        </w:rPr>
        <w:t xml:space="preserve">. </w:t>
      </w:r>
    </w:p>
    <w:p w14:paraId="7D9A8088" w14:textId="77777777" w:rsidR="00EE1C83" w:rsidRDefault="00EE1C83" w:rsidP="00321F1A">
      <w:pPr>
        <w:keepNext/>
        <w:jc w:val="center"/>
      </w:pPr>
      <w:r>
        <w:rPr>
          <w:noProof/>
          <w:lang w:eastAsia="zh-CN"/>
        </w:rPr>
        <w:drawing>
          <wp:inline distT="0" distB="0" distL="0" distR="0" wp14:anchorId="3605DBC2" wp14:editId="602E5BA1">
            <wp:extent cx="2211462" cy="18319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14926" cy="1834844"/>
                    </a:xfrm>
                    <a:prstGeom prst="rect">
                      <a:avLst/>
                    </a:prstGeom>
                    <a:noFill/>
                  </pic:spPr>
                </pic:pic>
              </a:graphicData>
            </a:graphic>
          </wp:inline>
        </w:drawing>
      </w:r>
    </w:p>
    <w:p w14:paraId="391BA5C1" w14:textId="5BEE5CEA" w:rsidR="00C8327C" w:rsidRDefault="00EE1C83" w:rsidP="00321F1A">
      <w:pPr>
        <w:pStyle w:val="Caption"/>
        <w:jc w:val="center"/>
        <w:rPr>
          <w:lang w:eastAsia="zh-CN"/>
        </w:rPr>
      </w:pPr>
      <w:r>
        <w:t xml:space="preserve">Figure </w:t>
      </w:r>
      <w:r>
        <w:fldChar w:fldCharType="begin"/>
      </w:r>
      <w:r>
        <w:instrText xml:space="preserve"> SEQ Figure \* ARABIC </w:instrText>
      </w:r>
      <w:r>
        <w:fldChar w:fldCharType="separate"/>
      </w:r>
      <w:r w:rsidR="00EA7EC4">
        <w:rPr>
          <w:noProof/>
        </w:rPr>
        <w:t>32</w:t>
      </w:r>
      <w:r>
        <w:fldChar w:fldCharType="end"/>
      </w:r>
      <w:r>
        <w:t xml:space="preserve"> UE configured with multiple carriers in downlink and a single carrier in uplink.</w:t>
      </w:r>
    </w:p>
    <w:p w14:paraId="66455715" w14:textId="77777777" w:rsidR="00C8327C" w:rsidRPr="00C8327C" w:rsidRDefault="00C8327C" w:rsidP="00321F1A">
      <w:pPr>
        <w:jc w:val="both"/>
        <w:rPr>
          <w:lang w:eastAsia="zh-CN"/>
        </w:rPr>
      </w:pPr>
    </w:p>
    <w:p w14:paraId="19456F2B" w14:textId="6961E1DB" w:rsidR="00C8327C" w:rsidRDefault="00C8327C" w:rsidP="0092649B">
      <w:pPr>
        <w:jc w:val="both"/>
        <w:rPr>
          <w:lang w:eastAsia="zh-CN"/>
        </w:rPr>
      </w:pPr>
      <w:r w:rsidRPr="00C8327C">
        <w:rPr>
          <w:lang w:eastAsia="zh-CN"/>
        </w:rPr>
        <w:t>At times it may happen that the UE may be in a unique position to determine that scheduling uplink transmission</w:t>
      </w:r>
      <w:r w:rsidR="00D33725">
        <w:rPr>
          <w:lang w:eastAsia="zh-CN"/>
        </w:rPr>
        <w:t>s</w:t>
      </w:r>
      <w:r w:rsidRPr="00C8327C">
        <w:rPr>
          <w:lang w:eastAsia="zh-CN"/>
        </w:rPr>
        <w:t xml:space="preserve"> in a carrier that is different from the carrier configured for uplink might </w:t>
      </w:r>
      <w:r w:rsidR="00015676" w:rsidRPr="00C8327C">
        <w:rPr>
          <w:lang w:eastAsia="zh-CN"/>
        </w:rPr>
        <w:t>be</w:t>
      </w:r>
      <w:r w:rsidRPr="00C8327C">
        <w:rPr>
          <w:lang w:eastAsia="zh-CN"/>
        </w:rPr>
        <w:t xml:space="preserve"> better for the network.</w:t>
      </w:r>
      <w:r w:rsidR="00D33725">
        <w:rPr>
          <w:lang w:eastAsia="zh-CN"/>
        </w:rPr>
        <w:t xml:space="preserve"> </w:t>
      </w:r>
      <w:r w:rsidR="00594240">
        <w:rPr>
          <w:lang w:eastAsia="zh-CN"/>
        </w:rPr>
        <w:t xml:space="preserve">This could be due to </w:t>
      </w:r>
      <w:r w:rsidRPr="00C8327C">
        <w:rPr>
          <w:lang w:eastAsia="zh-CN"/>
        </w:rPr>
        <w:t xml:space="preserve">UE’s knowledge of regulatory constraints on RF exposure </w:t>
      </w:r>
      <w:r w:rsidR="00594240">
        <w:rPr>
          <w:lang w:eastAsia="zh-CN"/>
        </w:rPr>
        <w:t xml:space="preserve">in each carrier and its ability to </w:t>
      </w:r>
      <w:r w:rsidR="00023D12">
        <w:rPr>
          <w:lang w:eastAsia="zh-CN"/>
        </w:rPr>
        <w:t xml:space="preserve">deliver a </w:t>
      </w:r>
      <w:r w:rsidR="00015676">
        <w:rPr>
          <w:lang w:eastAsia="zh-CN"/>
        </w:rPr>
        <w:t>certain amount</w:t>
      </w:r>
      <w:r w:rsidRPr="00C8327C">
        <w:rPr>
          <w:lang w:eastAsia="zh-CN"/>
        </w:rPr>
        <w:t xml:space="preserve"> of power on a particular carrier</w:t>
      </w:r>
      <w:r w:rsidR="002652A4">
        <w:rPr>
          <w:lang w:eastAsia="zh-CN"/>
        </w:rPr>
        <w:t>.</w:t>
      </w:r>
      <w:r w:rsidR="004627A0">
        <w:rPr>
          <w:lang w:eastAsia="zh-CN"/>
        </w:rPr>
        <w:t xml:space="preserve"> There is however</w:t>
      </w:r>
      <w:r w:rsidR="00023D12">
        <w:rPr>
          <w:lang w:eastAsia="zh-CN"/>
        </w:rPr>
        <w:t xml:space="preserve"> no existing mechanism for a UE to convey this information back to the gNB. </w:t>
      </w:r>
      <w:r w:rsidRPr="00C8327C">
        <w:rPr>
          <w:lang w:eastAsia="zh-CN"/>
        </w:rPr>
        <w:t xml:space="preserve">Rather than have a gNB determine the carrier for uplink purely using </w:t>
      </w:r>
      <w:r w:rsidR="00465B11">
        <w:rPr>
          <w:lang w:eastAsia="zh-CN"/>
        </w:rPr>
        <w:t>DL measurements (e.g., RSRP, RSRQ, SINR</w:t>
      </w:r>
      <w:r w:rsidR="00DC42A2">
        <w:rPr>
          <w:lang w:eastAsia="zh-CN"/>
        </w:rPr>
        <w:t>, etc)</w:t>
      </w:r>
      <w:r w:rsidRPr="00C8327C">
        <w:rPr>
          <w:lang w:eastAsia="zh-CN"/>
        </w:rPr>
        <w:t>, it might make sense for a UE to also report the amount of power available in each carrier so that the gNB can then put both these inputs together to determine the bet</w:t>
      </w:r>
      <w:r w:rsidR="0048168E">
        <w:rPr>
          <w:lang w:eastAsia="zh-CN"/>
        </w:rPr>
        <w:t>ter</w:t>
      </w:r>
      <w:r w:rsidRPr="00C8327C">
        <w:rPr>
          <w:lang w:eastAsia="zh-CN"/>
        </w:rPr>
        <w:t xml:space="preserve"> carrier to use in uplink.</w:t>
      </w:r>
      <w:r w:rsidR="0092649B">
        <w:rPr>
          <w:lang w:eastAsia="zh-CN"/>
        </w:rPr>
        <w:t xml:space="preserve"> This then motivates the need to introduce </w:t>
      </w:r>
      <w:r w:rsidRPr="00C8327C">
        <w:rPr>
          <w:lang w:eastAsia="zh-CN"/>
        </w:rPr>
        <w:t>additional signaling that lets gNB be aware of power available in an unconfigured uplink carrier through power headroom reporting</w:t>
      </w:r>
      <w:r w:rsidR="00C35F95">
        <w:rPr>
          <w:lang w:eastAsia="zh-CN"/>
        </w:rPr>
        <w:t>. We make the following proposal:</w:t>
      </w:r>
      <w:r w:rsidRPr="00C8327C">
        <w:rPr>
          <w:lang w:eastAsia="zh-CN"/>
        </w:rPr>
        <w:t xml:space="preserve"> </w:t>
      </w:r>
    </w:p>
    <w:tbl>
      <w:tblPr>
        <w:tblStyle w:val="TableGrid"/>
        <w:tblW w:w="0" w:type="auto"/>
        <w:tblLook w:val="04A0" w:firstRow="1" w:lastRow="0" w:firstColumn="1" w:lastColumn="0" w:noHBand="0" w:noVBand="1"/>
      </w:tblPr>
      <w:tblGrid>
        <w:gridCol w:w="9350"/>
      </w:tblGrid>
      <w:tr w:rsidR="002667F6" w14:paraId="0259188F" w14:textId="77777777" w:rsidTr="002667F6">
        <w:tc>
          <w:tcPr>
            <w:tcW w:w="9350" w:type="dxa"/>
          </w:tcPr>
          <w:p w14:paraId="7D856AA4" w14:textId="27937255" w:rsidR="002667F6" w:rsidRDefault="002667F6" w:rsidP="00321F1A">
            <w:pPr>
              <w:rPr>
                <w:lang w:eastAsia="zh-CN"/>
              </w:rPr>
            </w:pPr>
            <w:r w:rsidRPr="00B87DE4">
              <w:rPr>
                <w:b/>
                <w:bCs/>
                <w:lang w:eastAsia="zh-CN"/>
              </w:rPr>
              <w:t>Proposal</w:t>
            </w:r>
            <w:r>
              <w:rPr>
                <w:b/>
                <w:bCs/>
                <w:lang w:eastAsia="zh-CN"/>
              </w:rPr>
              <w:t xml:space="preserve"> </w:t>
            </w:r>
            <w:r w:rsidR="00BD50AC">
              <w:rPr>
                <w:b/>
                <w:bCs/>
                <w:lang w:eastAsia="zh-CN"/>
              </w:rPr>
              <w:t>1</w:t>
            </w:r>
            <w:r w:rsidR="00082329">
              <w:rPr>
                <w:b/>
                <w:bCs/>
                <w:lang w:eastAsia="zh-CN"/>
              </w:rPr>
              <w:t>5</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tc>
      </w:tr>
    </w:tbl>
    <w:p w14:paraId="374769A3" w14:textId="72B13E44" w:rsidR="002667F6" w:rsidRDefault="002667F6" w:rsidP="00321F1A">
      <w:pPr>
        <w:jc w:val="both"/>
        <w:rPr>
          <w:lang w:eastAsia="zh-CN"/>
        </w:rPr>
      </w:pPr>
    </w:p>
    <w:p w14:paraId="502E75F4" w14:textId="6BC35C55" w:rsidR="00282403" w:rsidRDefault="00FE155E" w:rsidP="00EB41C4">
      <w:pPr>
        <w:jc w:val="both"/>
        <w:rPr>
          <w:lang w:eastAsia="zh-CN"/>
        </w:rPr>
      </w:pPr>
      <w:r>
        <w:rPr>
          <w:lang w:eastAsia="zh-CN"/>
        </w:rPr>
        <w:t>Fourth</w:t>
      </w:r>
      <w:r w:rsidR="00785284">
        <w:rPr>
          <w:lang w:eastAsia="zh-CN"/>
        </w:rPr>
        <w:t>, as highlighted in the previous sections, the time varying nature of RF exposure motivates introducing a new mechanism for a UE to report time varying transmit power availability to the gNB.</w:t>
      </w:r>
      <w:r w:rsidR="00947287">
        <w:rPr>
          <w:lang w:eastAsia="zh-CN"/>
        </w:rPr>
        <w:t xml:space="preserve"> </w:t>
      </w:r>
      <w:r w:rsidR="00277FEC">
        <w:rPr>
          <w:lang w:eastAsia="zh-CN"/>
        </w:rPr>
        <w:t>To accomplish this</w:t>
      </w:r>
      <w:r w:rsidR="001A2378">
        <w:rPr>
          <w:lang w:eastAsia="zh-CN"/>
        </w:rPr>
        <w:t>,</w:t>
      </w:r>
      <w:r w:rsidR="00277FEC">
        <w:rPr>
          <w:lang w:eastAsia="zh-CN"/>
        </w:rPr>
        <w:t xml:space="preserve"> we propose that a UE report </w:t>
      </w:r>
      <w:r w:rsidR="00E473ED">
        <w:rPr>
          <w:lang w:eastAsia="zh-CN"/>
        </w:rPr>
        <w:t xml:space="preserve">an estimated duration of time for which </w:t>
      </w:r>
      <w:r w:rsidR="00D953EB">
        <w:rPr>
          <w:lang w:eastAsia="zh-CN"/>
        </w:rPr>
        <w:t>the reported Pcmax value can sustained</w:t>
      </w:r>
      <w:r w:rsidR="001D2006">
        <w:rPr>
          <w:lang w:eastAsia="zh-CN"/>
        </w:rPr>
        <w:t xml:space="preserve">. In particular, the UE may compute this duration assuming </w:t>
      </w:r>
      <w:r w:rsidR="004967BF">
        <w:rPr>
          <w:lang w:eastAsia="zh-CN"/>
        </w:rPr>
        <w:t xml:space="preserve">uplink </w:t>
      </w:r>
      <w:r w:rsidR="00BA0621">
        <w:rPr>
          <w:lang w:eastAsia="zh-CN"/>
        </w:rPr>
        <w:t xml:space="preserve">grants at </w:t>
      </w:r>
      <w:r w:rsidR="004967BF">
        <w:rPr>
          <w:lang w:eastAsia="zh-CN"/>
        </w:rPr>
        <w:t>the maximum duty cycle that it can support</w:t>
      </w:r>
      <w:r w:rsidR="00BA0621">
        <w:rPr>
          <w:lang w:eastAsia="zh-CN"/>
        </w:rPr>
        <w:t xml:space="preserve"> (as indicated via capability report) and </w:t>
      </w:r>
      <w:r w:rsidR="00220110">
        <w:rPr>
          <w:lang w:eastAsia="zh-CN"/>
        </w:rPr>
        <w:t xml:space="preserve">assuming the transmit power to be the same as the Pcmax value reported </w:t>
      </w:r>
      <w:r w:rsidR="00896B8C">
        <w:rPr>
          <w:lang w:eastAsia="zh-CN"/>
        </w:rPr>
        <w:t xml:space="preserve">in the PHR. This information can then provide the gNB with some idea of how long a UE is able to </w:t>
      </w:r>
      <w:r w:rsidR="00282403">
        <w:rPr>
          <w:lang w:eastAsia="zh-CN"/>
        </w:rPr>
        <w:t>support uplink transmission at high power before UE begins to cut back on power to meeting exposure requirements</w:t>
      </w:r>
      <w:r w:rsidR="00F0235A">
        <w:rPr>
          <w:lang w:eastAsia="zh-CN"/>
        </w:rPr>
        <w:t>.</w:t>
      </w:r>
    </w:p>
    <w:tbl>
      <w:tblPr>
        <w:tblStyle w:val="TableGrid"/>
        <w:tblW w:w="0" w:type="auto"/>
        <w:tblLook w:val="04A0" w:firstRow="1" w:lastRow="0" w:firstColumn="1" w:lastColumn="0" w:noHBand="0" w:noVBand="1"/>
      </w:tblPr>
      <w:tblGrid>
        <w:gridCol w:w="9350"/>
      </w:tblGrid>
      <w:tr w:rsidR="00C65179" w14:paraId="70FE4EA4" w14:textId="77777777" w:rsidTr="00C65179">
        <w:tc>
          <w:tcPr>
            <w:tcW w:w="9350" w:type="dxa"/>
          </w:tcPr>
          <w:p w14:paraId="522BAFA6" w14:textId="389B6790" w:rsidR="00C65179" w:rsidRPr="00C34873" w:rsidRDefault="00895901" w:rsidP="00C34873">
            <w:pPr>
              <w:jc w:val="both"/>
              <w:rPr>
                <w:lang w:eastAsia="zh-CN"/>
              </w:rPr>
            </w:pPr>
            <w:r>
              <w:rPr>
                <w:lang w:eastAsia="zh-CN"/>
              </w:rPr>
              <w:t xml:space="preserve"> </w:t>
            </w:r>
            <w:r w:rsidR="00C65179" w:rsidRPr="00321F1A">
              <w:rPr>
                <w:b/>
                <w:bCs/>
                <w:lang w:eastAsia="ja-JP"/>
              </w:rPr>
              <w:t xml:space="preserve">Proposal </w:t>
            </w:r>
            <w:r w:rsidR="008E1BF9">
              <w:rPr>
                <w:b/>
                <w:bCs/>
                <w:lang w:eastAsia="ja-JP"/>
              </w:rPr>
              <w:t>1</w:t>
            </w:r>
            <w:r w:rsidR="00082329">
              <w:rPr>
                <w:b/>
                <w:bCs/>
                <w:lang w:eastAsia="ja-JP"/>
              </w:rPr>
              <w:t>6</w:t>
            </w:r>
            <w:r w:rsidR="00551390">
              <w:rPr>
                <w:b/>
                <w:bCs/>
                <w:lang w:eastAsia="ja-JP"/>
              </w:rPr>
              <w:t>:</w:t>
            </w:r>
            <w:r w:rsidR="00C65179" w:rsidRPr="00667CC6">
              <w:rPr>
                <w:lang w:eastAsia="ja-JP"/>
              </w:rPr>
              <w:t xml:space="preserve"> </w:t>
            </w:r>
            <w:r w:rsidR="00BF25F6" w:rsidRPr="00667CC6">
              <w:rPr>
                <w:lang w:eastAsia="zh-CN"/>
              </w:rPr>
              <w:t xml:space="preserve">Enhance the current power headroom reporting framework </w:t>
            </w:r>
            <w:r w:rsidR="00BF25F6">
              <w:rPr>
                <w:lang w:eastAsia="zh-CN"/>
              </w:rPr>
              <w:t xml:space="preserve">to allow a user to report </w:t>
            </w:r>
            <w:r w:rsidR="00D32FB6">
              <w:rPr>
                <w:lang w:eastAsia="zh-CN"/>
              </w:rPr>
              <w:t>the</w:t>
            </w:r>
            <w:r w:rsidR="00C34873">
              <w:rPr>
                <w:lang w:eastAsia="zh-CN"/>
              </w:rPr>
              <w:t xml:space="preserve"> duration over which the reported Pcmax can be sustained. </w:t>
            </w:r>
            <w:r w:rsidR="00C65179" w:rsidRPr="00C34873">
              <w:rPr>
                <w:lang w:eastAsia="ja-JP"/>
              </w:rPr>
              <w:tab/>
            </w:r>
          </w:p>
        </w:tc>
      </w:tr>
    </w:tbl>
    <w:p w14:paraId="0406B96E" w14:textId="77777777" w:rsidR="005F02F3" w:rsidRPr="00321F1A" w:rsidRDefault="005F02F3" w:rsidP="00321F1A">
      <w:pPr>
        <w:jc w:val="center"/>
        <w:rPr>
          <w:lang w:val="en-GB" w:eastAsia="zh-CN"/>
        </w:rPr>
      </w:pPr>
    </w:p>
    <w:p w14:paraId="7BFD3C45" w14:textId="36F4C296" w:rsidR="00012A23" w:rsidRDefault="00B81EFD" w:rsidP="00724B3F">
      <w:pPr>
        <w:pStyle w:val="Heading3"/>
        <w:rPr>
          <w:lang w:eastAsia="zh-CN"/>
        </w:rPr>
      </w:pPr>
      <w:r>
        <w:rPr>
          <w:lang w:eastAsia="zh-CN"/>
        </w:rPr>
        <w:t xml:space="preserve">Case Study: </w:t>
      </w:r>
      <w:r w:rsidR="00694984">
        <w:rPr>
          <w:lang w:eastAsia="zh-CN"/>
        </w:rPr>
        <w:t>Enhanced</w:t>
      </w:r>
      <w:r w:rsidR="00724B3F">
        <w:rPr>
          <w:lang w:eastAsia="zh-CN"/>
        </w:rPr>
        <w:t xml:space="preserve"> </w:t>
      </w:r>
      <w:r>
        <w:rPr>
          <w:lang w:eastAsia="zh-CN"/>
        </w:rPr>
        <w:t>Scheduling for TDD+FDD Switched UL</w:t>
      </w:r>
    </w:p>
    <w:p w14:paraId="382C27DA" w14:textId="18B2FEE7" w:rsidR="003324AE" w:rsidRDefault="007565C0" w:rsidP="00321F1A">
      <w:pPr>
        <w:jc w:val="both"/>
        <w:rPr>
          <w:lang w:val="en-GB" w:eastAsia="zh-CN"/>
        </w:rPr>
      </w:pPr>
      <w:r>
        <w:rPr>
          <w:lang w:val="en-GB" w:eastAsia="zh-CN"/>
        </w:rPr>
        <w:t>In this section we take the case of switched UL using a TDD and a FDD band</w:t>
      </w:r>
      <w:r w:rsidR="00CD1BB0">
        <w:rPr>
          <w:lang w:val="en-GB" w:eastAsia="zh-CN"/>
        </w:rPr>
        <w:t xml:space="preserve"> and illustrate how a network can incorporate </w:t>
      </w:r>
      <w:r w:rsidR="007562A4">
        <w:rPr>
          <w:lang w:val="en-GB" w:eastAsia="zh-CN"/>
        </w:rPr>
        <w:t>power</w:t>
      </w:r>
      <w:r w:rsidR="00CD1BB0">
        <w:rPr>
          <w:lang w:val="en-GB" w:eastAsia="zh-CN"/>
        </w:rPr>
        <w:t xml:space="preserve"> availability at a UE to </w:t>
      </w:r>
      <w:r w:rsidR="009A1FE1">
        <w:rPr>
          <w:lang w:val="en-GB" w:eastAsia="zh-CN"/>
        </w:rPr>
        <w:t xml:space="preserve">help the gNB make better decisions on switching between the two carriers for uplink. </w:t>
      </w:r>
    </w:p>
    <w:p w14:paraId="6AEB05F0" w14:textId="2BFC7E69" w:rsidR="00BF0525" w:rsidRDefault="007B779A" w:rsidP="00321F1A">
      <w:pPr>
        <w:jc w:val="both"/>
        <w:rPr>
          <w:lang w:val="en-GB" w:eastAsia="zh-CN"/>
        </w:rPr>
      </w:pPr>
      <w:r>
        <w:rPr>
          <w:lang w:val="en-GB" w:eastAsia="zh-CN"/>
        </w:rPr>
        <w:t xml:space="preserve">We consider a setup where a UE is </w:t>
      </w:r>
      <w:r w:rsidR="004C1F12">
        <w:rPr>
          <w:lang w:val="en-GB" w:eastAsia="zh-CN"/>
        </w:rPr>
        <w:t>configured for uplink over a TDD and a FDD carrier.</w:t>
      </w:r>
      <w:r w:rsidR="009D322E">
        <w:rPr>
          <w:lang w:val="en-GB" w:eastAsia="zh-CN"/>
        </w:rPr>
        <w:t xml:space="preserve"> Switched uplink is assumed --- the UE can transmit only on one of the two bands but not both.</w:t>
      </w:r>
      <w:r w:rsidR="004C1F12">
        <w:rPr>
          <w:lang w:val="en-GB" w:eastAsia="zh-CN"/>
        </w:rPr>
        <w:t xml:space="preserve"> The max power on the TDD band is assumed to 26 dBm, while the max power on the FDD band is assumed to be 23 dBm. </w:t>
      </w:r>
      <w:r w:rsidR="00E3740D">
        <w:rPr>
          <w:lang w:val="en-GB" w:eastAsia="zh-CN"/>
        </w:rPr>
        <w:t>F</w:t>
      </w:r>
      <w:r w:rsidR="002C3391">
        <w:rPr>
          <w:lang w:val="en-GB" w:eastAsia="zh-CN"/>
        </w:rPr>
        <w:t xml:space="preserve">urther, it is assumed that due to RF exposure, the UE has to </w:t>
      </w:r>
      <w:r w:rsidR="001F706E">
        <w:rPr>
          <w:lang w:val="en-GB" w:eastAsia="zh-CN"/>
        </w:rPr>
        <w:t xml:space="preserve">occasionally </w:t>
      </w:r>
      <w:r w:rsidR="002C3391">
        <w:rPr>
          <w:lang w:val="en-GB" w:eastAsia="zh-CN"/>
        </w:rPr>
        <w:t xml:space="preserve">back off </w:t>
      </w:r>
      <w:r w:rsidR="0080445F">
        <w:rPr>
          <w:lang w:val="en-GB" w:eastAsia="zh-CN"/>
        </w:rPr>
        <w:t>its tx</w:t>
      </w:r>
      <w:r w:rsidR="002C3391">
        <w:rPr>
          <w:lang w:val="en-GB" w:eastAsia="zh-CN"/>
        </w:rPr>
        <w:t xml:space="preserve"> power </w:t>
      </w:r>
      <w:r w:rsidR="001F706E">
        <w:rPr>
          <w:lang w:val="en-GB" w:eastAsia="zh-CN"/>
        </w:rPr>
        <w:t xml:space="preserve">and set its P-MPR to a non-zero value. For the sake of simplicity, we </w:t>
      </w:r>
      <w:r w:rsidR="00D80724">
        <w:rPr>
          <w:lang w:val="en-GB" w:eastAsia="zh-CN"/>
        </w:rPr>
        <w:t xml:space="preserve">assume that the P-MPR for uplink in the TDD band is always set to zero, but </w:t>
      </w:r>
      <w:r w:rsidR="00463790">
        <w:rPr>
          <w:lang w:val="en-GB" w:eastAsia="zh-CN"/>
        </w:rPr>
        <w:t xml:space="preserve">the P-MPR for the FDD band varies over time. The UE is assumed to change its P-MPR once every 100 ms. </w:t>
      </w:r>
      <w:r w:rsidR="00F62F5A">
        <w:rPr>
          <w:lang w:val="en-GB" w:eastAsia="zh-CN"/>
        </w:rPr>
        <w:t xml:space="preserve">Only a </w:t>
      </w:r>
      <w:r w:rsidR="00463790">
        <w:rPr>
          <w:lang w:val="en-GB" w:eastAsia="zh-CN"/>
        </w:rPr>
        <w:t xml:space="preserve">small variation </w:t>
      </w:r>
      <w:r w:rsidR="0028219D">
        <w:rPr>
          <w:lang w:val="en-GB" w:eastAsia="zh-CN"/>
        </w:rPr>
        <w:t xml:space="preserve">in power is assumed (1-2 dB). Thus, while the max power on TDD band remains steady, the max power on the FDD band varies over time. </w:t>
      </w:r>
    </w:p>
    <w:p w14:paraId="621E3B85" w14:textId="3DF5E5DD" w:rsidR="009D322E" w:rsidRDefault="009D322E" w:rsidP="00321F1A">
      <w:pPr>
        <w:jc w:val="both"/>
        <w:rPr>
          <w:lang w:val="en-GB" w:eastAsia="zh-CN"/>
        </w:rPr>
      </w:pPr>
      <w:r>
        <w:rPr>
          <w:lang w:val="en-GB" w:eastAsia="zh-CN"/>
        </w:rPr>
        <w:t xml:space="preserve">Assuming a DDDSU slot pattern for TDD, once every 5 slots, the gNB needs to determine if </w:t>
      </w:r>
      <w:r w:rsidR="000F4C36">
        <w:rPr>
          <w:lang w:val="en-GB" w:eastAsia="zh-CN"/>
        </w:rPr>
        <w:t xml:space="preserve">it wishes to engage the UE in uplink over the TDD band or the FDD band. Multiple factors go into this decision making, including, pathloss, loading, </w:t>
      </w:r>
      <w:r w:rsidR="0010434C">
        <w:rPr>
          <w:lang w:val="en-GB" w:eastAsia="zh-CN"/>
        </w:rPr>
        <w:t xml:space="preserve">traffic patterns, </w:t>
      </w:r>
      <w:r w:rsidR="00B73D09">
        <w:rPr>
          <w:lang w:val="en-GB" w:eastAsia="zh-CN"/>
        </w:rPr>
        <w:t xml:space="preserve">fairness, </w:t>
      </w:r>
      <w:r w:rsidR="0010434C">
        <w:rPr>
          <w:lang w:val="en-GB" w:eastAsia="zh-CN"/>
        </w:rPr>
        <w:t xml:space="preserve">etc. To these factors, we introduce energy awareness --- i.e., gNB knows </w:t>
      </w:r>
      <w:r w:rsidR="002D1FD5">
        <w:rPr>
          <w:lang w:val="en-GB" w:eastAsia="zh-CN"/>
        </w:rPr>
        <w:t xml:space="preserve">the amount of power a UE </w:t>
      </w:r>
      <w:r w:rsidR="00734924">
        <w:rPr>
          <w:lang w:val="en-GB" w:eastAsia="zh-CN"/>
        </w:rPr>
        <w:t>can transmit</w:t>
      </w:r>
      <w:r w:rsidR="002D1FD5">
        <w:rPr>
          <w:lang w:val="en-GB" w:eastAsia="zh-CN"/>
        </w:rPr>
        <w:t xml:space="preserve"> at in the next 100 ms.</w:t>
      </w:r>
      <w:r w:rsidR="00B73D09">
        <w:rPr>
          <w:lang w:val="en-GB" w:eastAsia="zh-CN"/>
        </w:rPr>
        <w:t xml:space="preserve"> gNB scheduler then incorporates this information and determines expected link quality and chooses the most appropriate carrier.</w:t>
      </w:r>
    </w:p>
    <w:p w14:paraId="25B1BDEC" w14:textId="42DBE98E" w:rsidR="00BF0525" w:rsidRDefault="00C63AFD" w:rsidP="00015676">
      <w:pPr>
        <w:jc w:val="both"/>
        <w:rPr>
          <w:lang w:val="en-GB" w:eastAsia="zh-CN"/>
        </w:rPr>
      </w:pPr>
      <w:r>
        <w:rPr>
          <w:lang w:val="en-GB" w:eastAsia="zh-CN"/>
        </w:rPr>
        <w:t xml:space="preserve">In the absence of </w:t>
      </w:r>
      <w:r w:rsidR="00FE0B05">
        <w:rPr>
          <w:lang w:val="en-GB" w:eastAsia="zh-CN"/>
        </w:rPr>
        <w:t>this information</w:t>
      </w:r>
      <w:r>
        <w:rPr>
          <w:lang w:val="en-GB" w:eastAsia="zh-CN"/>
        </w:rPr>
        <w:t xml:space="preserve">, a gNB needs to </w:t>
      </w:r>
      <w:r w:rsidR="00A149E4">
        <w:rPr>
          <w:lang w:val="en-GB" w:eastAsia="zh-CN"/>
        </w:rPr>
        <w:t>make assumption</w:t>
      </w:r>
      <w:r w:rsidR="000B3789">
        <w:rPr>
          <w:lang w:val="en-GB" w:eastAsia="zh-CN"/>
        </w:rPr>
        <w:t>s</w:t>
      </w:r>
      <w:r w:rsidR="00A149E4">
        <w:rPr>
          <w:lang w:val="en-GB" w:eastAsia="zh-CN"/>
        </w:rPr>
        <w:t xml:space="preserve"> on a </w:t>
      </w:r>
      <w:r w:rsidR="00226D95">
        <w:rPr>
          <w:lang w:val="en-GB" w:eastAsia="zh-CN"/>
        </w:rPr>
        <w:t xml:space="preserve">UE’s ability to deliver high power </w:t>
      </w:r>
      <w:r w:rsidR="00A149E4">
        <w:rPr>
          <w:lang w:val="en-GB" w:eastAsia="zh-CN"/>
        </w:rPr>
        <w:t xml:space="preserve">in uplink and may not always have an accurate idea of </w:t>
      </w:r>
      <w:r w:rsidR="006E06AB">
        <w:rPr>
          <w:lang w:val="en-GB" w:eastAsia="zh-CN"/>
        </w:rPr>
        <w:t xml:space="preserve">the prevailing conditions at the UE. </w:t>
      </w:r>
      <w:r w:rsidR="005B2396">
        <w:rPr>
          <w:lang w:val="en-GB" w:eastAsia="zh-CN"/>
        </w:rPr>
        <w:t>This can then lead to more retransmissions and inefficient use of uplink resources.</w:t>
      </w:r>
    </w:p>
    <w:p w14:paraId="5A7ED4D5" w14:textId="02BA7B2E" w:rsidR="009174E9" w:rsidRDefault="009174E9" w:rsidP="003324AE">
      <w:pPr>
        <w:rPr>
          <w:lang w:val="en-GB" w:eastAsia="zh-CN"/>
        </w:rPr>
      </w:pPr>
      <w:r>
        <w:rPr>
          <w:lang w:val="en-GB" w:eastAsia="zh-CN"/>
        </w:rPr>
        <w:t xml:space="preserve">Detailed simulation assumptions are listed in the tables below. </w:t>
      </w:r>
    </w:p>
    <w:p w14:paraId="5EFB296C" w14:textId="1EC9280D" w:rsidR="009174E9" w:rsidRPr="00321F1A" w:rsidRDefault="009174E9"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10</w:t>
      </w:r>
      <w:r w:rsidRPr="00321F1A">
        <w:rPr>
          <w:b/>
          <w:bCs/>
          <w:color w:val="auto"/>
          <w:sz w:val="20"/>
          <w:szCs w:val="20"/>
        </w:rPr>
        <w:fldChar w:fldCharType="end"/>
      </w:r>
      <w:r w:rsidRPr="00321F1A">
        <w:rPr>
          <w:b/>
          <w:bCs/>
          <w:color w:val="auto"/>
          <w:sz w:val="20"/>
          <w:szCs w:val="20"/>
        </w:rPr>
        <w:t xml:space="preserve"> System  Simulation Parameters</w:t>
      </w:r>
    </w:p>
    <w:p w14:paraId="26BEFAFD" w14:textId="73602A6C" w:rsidR="0052676D" w:rsidRDefault="0052676D" w:rsidP="003324AE">
      <w:pPr>
        <w:rPr>
          <w:lang w:val="en-GB" w:eastAsia="zh-CN"/>
        </w:rPr>
      </w:pPr>
      <w:r>
        <w:rPr>
          <w:noProof/>
          <w:lang w:val="en-GB" w:eastAsia="zh-CN"/>
        </w:rPr>
        <w:drawing>
          <wp:inline distT="0" distB="0" distL="0" distR="0" wp14:anchorId="3C2CC529" wp14:editId="683838F4">
            <wp:extent cx="5896725" cy="4262335"/>
            <wp:effectExtent l="0" t="0" r="8890" b="508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3499" cy="4274460"/>
                    </a:xfrm>
                    <a:prstGeom prst="rect">
                      <a:avLst/>
                    </a:prstGeom>
                    <a:noFill/>
                  </pic:spPr>
                </pic:pic>
              </a:graphicData>
            </a:graphic>
          </wp:inline>
        </w:drawing>
      </w:r>
    </w:p>
    <w:p w14:paraId="0BDFCD8F" w14:textId="77777777" w:rsidR="0052676D" w:rsidRDefault="0052676D" w:rsidP="003324AE">
      <w:pPr>
        <w:rPr>
          <w:lang w:val="en-GB" w:eastAsia="zh-CN"/>
        </w:rPr>
      </w:pPr>
    </w:p>
    <w:p w14:paraId="73F8E190" w14:textId="06355570" w:rsidR="009174E9" w:rsidRPr="00321F1A" w:rsidRDefault="009174E9" w:rsidP="00321F1A">
      <w:pPr>
        <w:pStyle w:val="Caption"/>
        <w:keepNext/>
        <w:jc w:val="center"/>
        <w:rPr>
          <w:b/>
          <w:bCs/>
          <w:color w:val="auto"/>
          <w:sz w:val="20"/>
          <w:szCs w:val="20"/>
        </w:rPr>
      </w:pPr>
      <w:r w:rsidRPr="00321F1A">
        <w:rPr>
          <w:b/>
          <w:bCs/>
          <w:color w:val="auto"/>
          <w:sz w:val="20"/>
          <w:szCs w:val="20"/>
        </w:rPr>
        <w:lastRenderedPageBreak/>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11</w:t>
      </w:r>
      <w:r w:rsidRPr="00321F1A">
        <w:rPr>
          <w:b/>
          <w:bCs/>
          <w:color w:val="auto"/>
          <w:sz w:val="20"/>
          <w:szCs w:val="20"/>
        </w:rPr>
        <w:fldChar w:fldCharType="end"/>
      </w:r>
      <w:r w:rsidRPr="00321F1A">
        <w:rPr>
          <w:b/>
          <w:bCs/>
          <w:color w:val="auto"/>
          <w:sz w:val="20"/>
          <w:szCs w:val="20"/>
        </w:rPr>
        <w:t xml:space="preserve"> System Simulation Parameters</w:t>
      </w:r>
    </w:p>
    <w:p w14:paraId="6786A212" w14:textId="5CA0C9FD" w:rsidR="007B779A" w:rsidRDefault="00A34D1E" w:rsidP="003324AE">
      <w:pPr>
        <w:rPr>
          <w:lang w:val="en-GB" w:eastAsia="zh-CN"/>
        </w:rPr>
      </w:pPr>
      <w:r>
        <w:rPr>
          <w:noProof/>
          <w:lang w:val="en-GB" w:eastAsia="zh-CN"/>
        </w:rPr>
        <w:drawing>
          <wp:inline distT="0" distB="0" distL="0" distR="0" wp14:anchorId="225D5522" wp14:editId="486B40E1">
            <wp:extent cx="5896725" cy="2661559"/>
            <wp:effectExtent l="0" t="0" r="889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9226" cy="2671715"/>
                    </a:xfrm>
                    <a:prstGeom prst="rect">
                      <a:avLst/>
                    </a:prstGeom>
                    <a:noFill/>
                  </pic:spPr>
                </pic:pic>
              </a:graphicData>
            </a:graphic>
          </wp:inline>
        </w:drawing>
      </w:r>
    </w:p>
    <w:p w14:paraId="2FFA21E3" w14:textId="67B175A1" w:rsidR="00555934" w:rsidRDefault="00555934" w:rsidP="003324AE">
      <w:pPr>
        <w:rPr>
          <w:noProof/>
        </w:rPr>
      </w:pPr>
      <w:r>
        <w:rPr>
          <w:noProof/>
        </w:rPr>
        <w:t xml:space="preserve">The uplink throughput achieved using such an approach is plotted in </w:t>
      </w:r>
      <w:r w:rsidR="00414552">
        <w:rPr>
          <w:noProof/>
        </w:rPr>
        <w:fldChar w:fldCharType="begin"/>
      </w:r>
      <w:r w:rsidR="00414552">
        <w:rPr>
          <w:noProof/>
        </w:rPr>
        <w:instrText xml:space="preserve"> REF _Ref127473059 \h </w:instrText>
      </w:r>
      <w:r w:rsidR="00414552">
        <w:rPr>
          <w:noProof/>
        </w:rPr>
      </w:r>
      <w:r w:rsidR="00414552">
        <w:rPr>
          <w:noProof/>
        </w:rPr>
        <w:fldChar w:fldCharType="separate"/>
      </w:r>
      <w:r w:rsidR="00EA7EC4">
        <w:t xml:space="preserve">Figure </w:t>
      </w:r>
      <w:r w:rsidR="00EA7EC4">
        <w:rPr>
          <w:noProof/>
        </w:rPr>
        <w:t>33</w:t>
      </w:r>
      <w:r w:rsidR="00414552">
        <w:rPr>
          <w:noProof/>
        </w:rPr>
        <w:fldChar w:fldCharType="end"/>
      </w:r>
      <w:r w:rsidR="00414552">
        <w:rPr>
          <w:noProof/>
        </w:rPr>
        <w:t xml:space="preserve"> where it is seen that </w:t>
      </w:r>
      <w:r w:rsidR="00C97C6F">
        <w:rPr>
          <w:noProof/>
        </w:rPr>
        <w:t>using energy</w:t>
      </w:r>
      <w:r w:rsidR="005D5C1B">
        <w:rPr>
          <w:noProof/>
        </w:rPr>
        <w:t>-aware scheduling UL throughput improves by about 10</w:t>
      </w:r>
      <w:r w:rsidR="005B3C18">
        <w:rPr>
          <w:noProof/>
        </w:rPr>
        <w:t xml:space="preserve">% at the median compared to a scheduling strategy that is </w:t>
      </w:r>
      <w:r w:rsidR="002129EB">
        <w:rPr>
          <w:noProof/>
        </w:rPr>
        <w:t>unaware of</w:t>
      </w:r>
      <w:r w:rsidR="001A59D9">
        <w:rPr>
          <w:noProof/>
        </w:rPr>
        <w:t xml:space="preserve"> power availability</w:t>
      </w:r>
      <w:r w:rsidR="002129EB">
        <w:rPr>
          <w:noProof/>
        </w:rPr>
        <w:t xml:space="preserve"> at the UE. </w:t>
      </w:r>
      <w:r w:rsidR="005D5C1B">
        <w:rPr>
          <w:noProof/>
        </w:rPr>
        <w:t xml:space="preserve"> </w:t>
      </w:r>
    </w:p>
    <w:p w14:paraId="7AB06F04" w14:textId="77777777" w:rsidR="00555934" w:rsidRDefault="002830ED" w:rsidP="00321F1A">
      <w:pPr>
        <w:keepNext/>
      </w:pPr>
      <w:r w:rsidRPr="002830ED">
        <w:rPr>
          <w:noProof/>
          <w:lang w:eastAsia="zh-CN"/>
        </w:rPr>
        <w:drawing>
          <wp:inline distT="0" distB="0" distL="0" distR="0" wp14:anchorId="094C9388" wp14:editId="1374536F">
            <wp:extent cx="5943600" cy="2897505"/>
            <wp:effectExtent l="0" t="0" r="0" b="0"/>
            <wp:docPr id="122" name="Picture 122">
              <a:extLst xmlns:a="http://schemas.openxmlformats.org/drawingml/2006/main">
                <a:ext uri="{FF2B5EF4-FFF2-40B4-BE49-F238E27FC236}">
                  <a16:creationId xmlns:a16="http://schemas.microsoft.com/office/drawing/2014/main" id="{6C7DA813-6676-7B4E-7B9F-73041102C1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C7DA813-6676-7B4E-7B9F-73041102C1C4}"/>
                        </a:ext>
                      </a:extLst>
                    </pic:cNvPr>
                    <pic:cNvPicPr>
                      <a:picLocks noChangeAspect="1"/>
                    </pic:cNvPicPr>
                  </pic:nvPicPr>
                  <pic:blipFill>
                    <a:blip r:embed="rId52"/>
                    <a:stretch>
                      <a:fillRect/>
                    </a:stretch>
                  </pic:blipFill>
                  <pic:spPr>
                    <a:xfrm>
                      <a:off x="0" y="0"/>
                      <a:ext cx="5943600" cy="2897505"/>
                    </a:xfrm>
                    <a:prstGeom prst="rect">
                      <a:avLst/>
                    </a:prstGeom>
                  </pic:spPr>
                </pic:pic>
              </a:graphicData>
            </a:graphic>
          </wp:inline>
        </w:drawing>
      </w:r>
    </w:p>
    <w:p w14:paraId="13E94466" w14:textId="359E5225" w:rsidR="003324AE" w:rsidRPr="003733F6" w:rsidRDefault="00555934" w:rsidP="00321F1A">
      <w:pPr>
        <w:pStyle w:val="Caption"/>
        <w:jc w:val="center"/>
        <w:rPr>
          <w:color w:val="000000" w:themeColor="text1"/>
          <w:lang w:eastAsia="zh-CN"/>
        </w:rPr>
      </w:pPr>
      <w:bookmarkStart w:id="34" w:name="_Ref127473059"/>
      <w:bookmarkStart w:id="35" w:name="_Ref127473051"/>
      <w:r w:rsidRPr="003733F6">
        <w:rPr>
          <w:color w:val="000000" w:themeColor="text1"/>
        </w:rPr>
        <w:t xml:space="preserve">Figure </w:t>
      </w:r>
      <w:r w:rsidRPr="003733F6">
        <w:rPr>
          <w:color w:val="000000" w:themeColor="text1"/>
        </w:rPr>
        <w:fldChar w:fldCharType="begin"/>
      </w:r>
      <w:r w:rsidRPr="003733F6">
        <w:rPr>
          <w:color w:val="000000" w:themeColor="text1"/>
        </w:rPr>
        <w:instrText xml:space="preserve"> SEQ Figure \* ARABIC </w:instrText>
      </w:r>
      <w:r w:rsidRPr="003733F6">
        <w:rPr>
          <w:color w:val="000000" w:themeColor="text1"/>
        </w:rPr>
        <w:fldChar w:fldCharType="separate"/>
      </w:r>
      <w:r w:rsidR="00EA7EC4" w:rsidRPr="003733F6">
        <w:rPr>
          <w:noProof/>
          <w:color w:val="000000" w:themeColor="text1"/>
        </w:rPr>
        <w:t>33</w:t>
      </w:r>
      <w:r w:rsidRPr="003733F6">
        <w:rPr>
          <w:color w:val="000000" w:themeColor="text1"/>
        </w:rPr>
        <w:fldChar w:fldCharType="end"/>
      </w:r>
      <w:bookmarkEnd w:id="34"/>
      <w:r w:rsidRPr="003733F6">
        <w:rPr>
          <w:color w:val="000000" w:themeColor="text1"/>
        </w:rPr>
        <w:t xml:space="preserve"> Uplink throughput with and without energy-aware scheduling</w:t>
      </w:r>
      <w:bookmarkEnd w:id="35"/>
    </w:p>
    <w:p w14:paraId="0B8C435A" w14:textId="77777777" w:rsidR="00554D61" w:rsidRDefault="00554D61" w:rsidP="00053B58">
      <w:pPr>
        <w:rPr>
          <w:lang w:val="en-GB" w:eastAsia="zh-CN"/>
        </w:rPr>
      </w:pPr>
    </w:p>
    <w:p w14:paraId="7D02BB27" w14:textId="2F05C45C" w:rsidR="006E306A" w:rsidRDefault="006E306A" w:rsidP="006E306A">
      <w:pPr>
        <w:pStyle w:val="Heading1"/>
        <w:rPr>
          <w:lang w:val="en-US"/>
        </w:rPr>
      </w:pPr>
      <w:r w:rsidRPr="007B31BC">
        <w:rPr>
          <w:lang w:val="en-US"/>
        </w:rPr>
        <w:t xml:space="preserve">Conclusion </w:t>
      </w:r>
    </w:p>
    <w:p w14:paraId="2C9E4A22" w14:textId="77777777" w:rsidR="00F9092F" w:rsidRDefault="00F9092F" w:rsidP="00F9092F">
      <w:pPr>
        <w:jc w:val="both"/>
      </w:pPr>
      <w:r>
        <w:t>This contribution discusses some potential techniques for enhancing coverage in both FR1 and FR2. In particular, the following observations and proposals have been made:</w:t>
      </w:r>
    </w:p>
    <w:p w14:paraId="6BEFAA18" w14:textId="7D79BF0E" w:rsidR="00FB34BC" w:rsidRDefault="00F9092F">
      <w:pPr>
        <w:jc w:val="both"/>
        <w:rPr>
          <w:u w:val="single"/>
        </w:rPr>
      </w:pPr>
      <w:r w:rsidRPr="00321F1A">
        <w:rPr>
          <w:u w:val="single"/>
        </w:rPr>
        <w:t>On MPR/PAPR optimization:</w:t>
      </w:r>
    </w:p>
    <w:p w14:paraId="42A371A6" w14:textId="432366EB" w:rsidR="00CF28AB" w:rsidRDefault="00CF28AB">
      <w:pPr>
        <w:jc w:val="both"/>
      </w:pPr>
      <w:r w:rsidRPr="00667CC6">
        <w:rPr>
          <w:b/>
          <w:bCs/>
        </w:rPr>
        <w:t>Observation</w:t>
      </w:r>
      <w:r>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t>E</w:t>
      </w:r>
      <w:r w:rsidRPr="00347C1B">
        <w:t>s may make use of the allowed reduction in transmit power.</w:t>
      </w:r>
    </w:p>
    <w:p w14:paraId="4030182B" w14:textId="06DD6F1A" w:rsidR="00CF28AB" w:rsidRDefault="00CF28AB">
      <w:pPr>
        <w:jc w:val="both"/>
      </w:pPr>
      <w:r w:rsidRPr="008B4038">
        <w:rPr>
          <w:b/>
          <w:bCs/>
        </w:rPr>
        <w:t>Proposal</w:t>
      </w:r>
      <w:r>
        <w:rPr>
          <w:b/>
          <w:bCs/>
        </w:rPr>
        <w:t xml:space="preserve"> 1</w:t>
      </w:r>
      <w:r w:rsidRPr="008B4038">
        <w:rPr>
          <w:b/>
          <w:bCs/>
        </w:rPr>
        <w:t>:</w:t>
      </w:r>
      <w:r>
        <w:t xml:space="preserve"> For enhancements to reduce MPR/PAPR, prioritize inner RB allocations with small RB allocations, for e.g., 1-32 RBs.</w:t>
      </w:r>
    </w:p>
    <w:p w14:paraId="77FBF0CA" w14:textId="17516601" w:rsidR="00CF28AB" w:rsidRPr="00321F1A" w:rsidRDefault="00CF28AB">
      <w:pPr>
        <w:jc w:val="both"/>
        <w:rPr>
          <w:u w:val="single"/>
        </w:rPr>
      </w:pPr>
      <w:r w:rsidRPr="00667CC6">
        <w:rPr>
          <w:b/>
          <w:bCs/>
        </w:rPr>
        <w:lastRenderedPageBreak/>
        <w:t>Proposal</w:t>
      </w:r>
      <w:r>
        <w:rPr>
          <w:b/>
          <w:bCs/>
        </w:rPr>
        <w:t xml:space="preserve"> 2</w:t>
      </w:r>
      <w:r w:rsidRPr="00667CC6">
        <w:rPr>
          <w:b/>
          <w:bCs/>
        </w:rPr>
        <w:t>:</w:t>
      </w:r>
      <w:r w:rsidRPr="001E037B">
        <w:t xml:space="preserve"> </w:t>
      </w:r>
      <w:r>
        <w:t>For enhancements to reduce MPR/PAPR, prioritize</w:t>
      </w:r>
      <w:r w:rsidRPr="001E037B">
        <w:t xml:space="preserve"> </w:t>
      </w:r>
      <w:r>
        <w:t>mechanisms</w:t>
      </w:r>
      <w:r w:rsidRPr="001E037B">
        <w:t xml:space="preserve"> that allow a 0-dB MPR waveform to be transmitted at a transmit power exceeding the maximum power associated with the UE power class.</w:t>
      </w:r>
    </w:p>
    <w:p w14:paraId="658901C3" w14:textId="7CB20F5D" w:rsidR="009D3CCA" w:rsidRDefault="00F9092F">
      <w:pPr>
        <w:jc w:val="both"/>
        <w:rPr>
          <w:u w:val="single"/>
        </w:rPr>
      </w:pPr>
      <w:r w:rsidRPr="00321F1A">
        <w:rPr>
          <w:u w:val="single"/>
        </w:rPr>
        <w:t>On transparent schemes for MPR/PAPR optimization:</w:t>
      </w:r>
    </w:p>
    <w:p w14:paraId="56046F33" w14:textId="032AE0A8" w:rsidR="009868C1" w:rsidRDefault="009868C1">
      <w:pPr>
        <w:jc w:val="both"/>
        <w:rPr>
          <w:u w:val="single"/>
        </w:rPr>
      </w:pPr>
      <w:r w:rsidRPr="008B4038">
        <w:rPr>
          <w:b/>
          <w:bCs/>
        </w:rPr>
        <w:t>Observation</w:t>
      </w:r>
      <w:r>
        <w:rPr>
          <w:b/>
          <w:bCs/>
        </w:rPr>
        <w:t xml:space="preserve"> 2</w:t>
      </w:r>
      <w:r w:rsidRPr="008B4038">
        <w:rPr>
          <w:b/>
          <w:bCs/>
        </w:rPr>
        <w:t>:</w:t>
      </w:r>
      <w:r>
        <w:t xml:space="preserve"> For a PC2 UE, using transparent techniques such transparent peak cancellation, a power boost of about 1-1.5 dB seems feasible for inner RB allocations. 1 dB MPR on outer RB allocations may still be required, primarily due to large RB allocations spanning more than 50% of the entire BW. Note that these results do not take other RF implementation challenges into account.</w:t>
      </w:r>
    </w:p>
    <w:p w14:paraId="58483D69" w14:textId="54005651" w:rsidR="002D0FC1" w:rsidRDefault="002D0FC1">
      <w:pPr>
        <w:jc w:val="both"/>
        <w:rPr>
          <w:u w:val="single"/>
        </w:rPr>
      </w:pPr>
      <w:r w:rsidRPr="001E018D">
        <w:rPr>
          <w:u w:val="single"/>
        </w:rPr>
        <w:t xml:space="preserve">On </w:t>
      </w:r>
      <w:r w:rsidR="00097B90">
        <w:rPr>
          <w:u w:val="single"/>
        </w:rPr>
        <w:t>tone reservation</w:t>
      </w:r>
    </w:p>
    <w:p w14:paraId="30BBD823" w14:textId="0B95CF67" w:rsidR="00E44526" w:rsidRDefault="00066645">
      <w:pPr>
        <w:jc w:val="both"/>
      </w:pPr>
      <w:r w:rsidRPr="00667CC6">
        <w:rPr>
          <w:b/>
          <w:bCs/>
        </w:rPr>
        <w:t>Observation</w:t>
      </w:r>
      <w:r>
        <w:rPr>
          <w:b/>
          <w:bCs/>
        </w:rPr>
        <w:t xml:space="preserve"> 3</w:t>
      </w:r>
      <w:r>
        <w:t>: With sideband tone reservation, gNB does not have to change its receiver design. Further, link-level performance of the waveform remains unchanged.</w:t>
      </w:r>
    </w:p>
    <w:p w14:paraId="0D4264A8" w14:textId="64F14D58" w:rsidR="00066645" w:rsidRDefault="00066645">
      <w:pPr>
        <w:jc w:val="both"/>
      </w:pPr>
      <w:r w:rsidRPr="008B4038">
        <w:rPr>
          <w:b/>
          <w:bCs/>
        </w:rPr>
        <w:t>Observation</w:t>
      </w:r>
      <w:r>
        <w:rPr>
          <w:b/>
          <w:bCs/>
        </w:rPr>
        <w:t xml:space="preserve"> 4</w:t>
      </w:r>
      <w:r w:rsidRPr="008B4038">
        <w:rPr>
          <w:b/>
          <w:bCs/>
        </w:rPr>
        <w:t>:</w:t>
      </w:r>
      <w:r>
        <w:t xml:space="preserve"> For a PC2 UE, when a BW expansion factor of 25% is allowed, tone reservation can result in a potential power boost of about 1-1.5 dB for inner RB allocations and 0.2 to 0.6 dB for certain outer RB allocations.  Note that these results do not take other RF implementation challenges into account.</w:t>
      </w:r>
    </w:p>
    <w:p w14:paraId="18312295" w14:textId="2315704E" w:rsidR="00066645" w:rsidRDefault="00066645">
      <w:pPr>
        <w:jc w:val="both"/>
      </w:pPr>
      <w:r w:rsidRPr="004F7173">
        <w:rPr>
          <w:b/>
          <w:bCs/>
        </w:rPr>
        <w:t>Observation</w:t>
      </w:r>
      <w:r>
        <w:rPr>
          <w:b/>
          <w:bCs/>
        </w:rPr>
        <w:t xml:space="preserve"> 5</w:t>
      </w:r>
      <w:r w:rsidRPr="004F7173">
        <w:rPr>
          <w:b/>
          <w:bCs/>
        </w:rPr>
        <w:t>:</w:t>
      </w:r>
      <w:r>
        <w:t xml:space="preserve"> Based on the set of results </w:t>
      </w:r>
      <w:r w:rsidRPr="00BD1F86">
        <w:t xml:space="preserve">presented in </w:t>
      </w:r>
      <w:r w:rsidRPr="00BD1F86">
        <w:fldChar w:fldCharType="begin"/>
      </w:r>
      <w:r w:rsidRPr="00BD1F86">
        <w:instrText xml:space="preserve"> REF _Ref127479862 \h </w:instrText>
      </w:r>
      <w:r w:rsidRPr="00321F1A">
        <w:instrText xml:space="preserve"> \* MERGEFORMAT </w:instrText>
      </w:r>
      <w:r w:rsidRPr="00BD1F86">
        <w:fldChar w:fldCharType="separate"/>
      </w:r>
      <w:r w:rsidR="00EA7EC4" w:rsidRPr="00EA7EC4">
        <w:t xml:space="preserve">Table </w:t>
      </w:r>
      <w:r w:rsidR="00EA7EC4" w:rsidRPr="00EA7EC4">
        <w:rPr>
          <w:noProof/>
        </w:rPr>
        <w:t>4</w:t>
      </w:r>
      <w:r w:rsidRPr="00BD1F86">
        <w:fldChar w:fldCharType="end"/>
      </w:r>
      <w:r>
        <w:t>, the net coverage gain due to tone reservation varies from 0.5 to 1.5 dB for inner RB allocations.</w:t>
      </w:r>
    </w:p>
    <w:p w14:paraId="21DC62F9" w14:textId="1ECDBFF4" w:rsidR="00066645" w:rsidRDefault="00066645">
      <w:pPr>
        <w:jc w:val="both"/>
      </w:pPr>
      <w:r>
        <w:rPr>
          <w:b/>
          <w:bCs/>
        </w:rPr>
        <w:t xml:space="preserve">Observation 6: </w:t>
      </w:r>
      <w:r w:rsidRPr="008B4038">
        <w:t>For inner-RB allocations, compared to transparent techniques, tone reservation brings marginal gains for certain specification allocations.</w:t>
      </w:r>
    </w:p>
    <w:p w14:paraId="10FE975B" w14:textId="4CE74553" w:rsidR="00097B90" w:rsidRDefault="00097B90" w:rsidP="00D6038E">
      <w:pPr>
        <w:jc w:val="both"/>
        <w:rPr>
          <w:u w:val="single"/>
        </w:rPr>
      </w:pPr>
      <w:r w:rsidRPr="00321F1A">
        <w:rPr>
          <w:u w:val="single"/>
        </w:rPr>
        <w:t>On FDSS with BW expansion</w:t>
      </w:r>
    </w:p>
    <w:p w14:paraId="5F5B5957" w14:textId="64E2A95D" w:rsidR="00066645" w:rsidRDefault="00066645" w:rsidP="00D6038E">
      <w:pPr>
        <w:jc w:val="both"/>
      </w:pPr>
      <w:r w:rsidRPr="004F7173">
        <w:rPr>
          <w:b/>
          <w:bCs/>
        </w:rPr>
        <w:t>Observation</w:t>
      </w:r>
      <w:r>
        <w:rPr>
          <w:b/>
          <w:bCs/>
        </w:rPr>
        <w:t xml:space="preserve"> 7</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p w14:paraId="23348611" w14:textId="77777777" w:rsidR="00814747" w:rsidRDefault="00814747" w:rsidP="00814747">
      <w:pPr>
        <w:rPr>
          <w:lang w:val="en-GB"/>
        </w:rPr>
      </w:pPr>
      <w:r w:rsidRPr="00D77300">
        <w:rPr>
          <w:b/>
          <w:bCs/>
          <w:lang w:val="en-GB"/>
        </w:rPr>
        <w:t xml:space="preserve">Proposal </w:t>
      </w:r>
      <w:r>
        <w:rPr>
          <w:b/>
          <w:bCs/>
          <w:lang w:val="en-GB"/>
        </w:rPr>
        <w:t>3</w:t>
      </w:r>
      <w:r w:rsidRPr="00D77300">
        <w:rPr>
          <w:b/>
          <w:bCs/>
          <w:lang w:val="en-GB"/>
        </w:rPr>
        <w:t>:</w:t>
      </w:r>
      <w:r>
        <w:rPr>
          <w:lang w:val="en-GB"/>
        </w:rPr>
        <w:t xml:space="preserve"> Prior to determining the appropriate DMRS to pair with FDSS with BWE, seek further input from RAN4 on the actual power gains from the potential options (including new and legacy DMRS designs).</w:t>
      </w:r>
    </w:p>
    <w:p w14:paraId="475D201C" w14:textId="1CC6DCB5" w:rsidR="00D56B09" w:rsidRPr="00D56B09" w:rsidRDefault="00D56B09" w:rsidP="00D56B09">
      <w:r w:rsidRPr="00D56B09">
        <w:rPr>
          <w:b/>
          <w:bCs/>
        </w:rPr>
        <w:t xml:space="preserve">Proposal </w:t>
      </w:r>
      <w:r w:rsidR="00814747">
        <w:rPr>
          <w:b/>
          <w:bCs/>
        </w:rPr>
        <w:t>4</w:t>
      </w:r>
      <w:r w:rsidRPr="00D56B09">
        <w:rPr>
          <w:b/>
          <w:bCs/>
        </w:rPr>
        <w:t>:</w:t>
      </w:r>
      <w:r w:rsidRPr="00D56B09">
        <w:t xml:space="preserve"> If FDSS with BWE is specified and it is agreed to be supported using low-PAPR Type 1 DMRS, at least for RB allocations &gt; 4 RB, </w:t>
      </w:r>
      <w:r w:rsidR="008150A5">
        <w:t>generate</w:t>
      </w:r>
      <w:r w:rsidRPr="00D56B09">
        <w:t xml:space="preserve"> the DMRS sequence using a ZC sequence that is cyclically extended to span the excess RBs before being mapped to tones. </w:t>
      </w:r>
    </w:p>
    <w:p w14:paraId="25F51CC3" w14:textId="5AA59FA5" w:rsidR="00D56B09" w:rsidRPr="00D56B09" w:rsidRDefault="00D56B09" w:rsidP="004D36C0">
      <w:pPr>
        <w:pStyle w:val="ListParagraph"/>
        <w:numPr>
          <w:ilvl w:val="0"/>
          <w:numId w:val="57"/>
        </w:numPr>
        <w:jc w:val="both"/>
      </w:pPr>
      <w:r w:rsidRPr="00D56B09">
        <w:t>Note: This method of cyclic extension for DMRS symbol differs from that of data symbols.</w:t>
      </w:r>
    </w:p>
    <w:p w14:paraId="7CEBB9ED" w14:textId="6FF7DA63" w:rsidR="00D56B09" w:rsidRDefault="00D56B09" w:rsidP="00D56B09">
      <w:pPr>
        <w:jc w:val="both"/>
      </w:pPr>
      <w:r w:rsidRPr="008B4038">
        <w:rPr>
          <w:b/>
          <w:bCs/>
        </w:rPr>
        <w:t>Proposal</w:t>
      </w:r>
      <w:r>
        <w:rPr>
          <w:b/>
          <w:bCs/>
        </w:rPr>
        <w:t xml:space="preserve"> </w:t>
      </w:r>
      <w:r w:rsidR="00814747">
        <w:rPr>
          <w:b/>
          <w:bCs/>
        </w:rPr>
        <w:t>5</w:t>
      </w:r>
      <w:r>
        <w:t xml:space="preserve">: If FDSS with BWE is specified, existing 5G NR Type 2 (pi/2 BPSK) DMRS can be reused with similar bandwidth expansion and FDSS as data symbols. </w:t>
      </w:r>
    </w:p>
    <w:p w14:paraId="47149D84" w14:textId="009B4DCA" w:rsidR="00D56B09" w:rsidRPr="00D56B09" w:rsidRDefault="00D56B09" w:rsidP="004D36C0">
      <w:pPr>
        <w:pStyle w:val="ListParagraph"/>
        <w:numPr>
          <w:ilvl w:val="0"/>
          <w:numId w:val="56"/>
        </w:numPr>
        <w:jc w:val="both"/>
        <w:rPr>
          <w:u w:val="single"/>
        </w:rPr>
      </w:pPr>
      <w:r w:rsidRPr="008B4038">
        <w:t xml:space="preserve">For </w:t>
      </w:r>
      <m:oMath>
        <m:r>
          <w:rPr>
            <w:rFonts w:ascii="Cambria Math" w:hAnsi="Cambria Math" w:hint="eastAsia"/>
          </w:rPr>
          <m:t>≥</m:t>
        </m:r>
        <m:r>
          <w:rPr>
            <w:rFonts w:ascii="Cambria Math" w:hAnsi="Cambria Math"/>
          </w:rPr>
          <m:t>5</m:t>
        </m:r>
      </m:oMath>
      <w:r w:rsidRPr="008B4038">
        <w:t xml:space="preserve"> RB allocations, another alternative is to reuse Type 1 (ZC-based) DMRS with cyclic extension of the ZC sequence</w:t>
      </w:r>
      <w:r>
        <w:t xml:space="preserve"> prior to tone mapping,</w:t>
      </w:r>
      <w:r w:rsidRPr="008B4038">
        <w:t xml:space="preserve"> followed by FDSS.</w:t>
      </w:r>
    </w:p>
    <w:p w14:paraId="2C0AD5C6" w14:textId="1D4FFBAF" w:rsidR="000754B4" w:rsidRDefault="000754B4" w:rsidP="000754B4">
      <w:pPr>
        <w:rPr>
          <w:lang w:val="en-GB"/>
        </w:rPr>
      </w:pPr>
      <w:r w:rsidRPr="002E5B6B">
        <w:rPr>
          <w:b/>
          <w:bCs/>
          <w:lang w:val="en-GB"/>
        </w:rPr>
        <w:t>Proposal</w:t>
      </w:r>
      <w:r>
        <w:rPr>
          <w:b/>
          <w:bCs/>
        </w:rPr>
        <w:t xml:space="preserve"> </w:t>
      </w:r>
      <w:r w:rsidR="00814747">
        <w:rPr>
          <w:b/>
          <w:bCs/>
        </w:rPr>
        <w:t>6</w:t>
      </w:r>
      <w:r w:rsidRPr="002E5B6B">
        <w:rPr>
          <w:b/>
          <w:bCs/>
          <w:lang w:val="en-GB"/>
        </w:rPr>
        <w:t>:</w:t>
      </w:r>
      <w:r>
        <w:rPr>
          <w:lang w:val="en-GB"/>
        </w:rPr>
        <w:t xml:space="preserve"> </w:t>
      </w:r>
      <w:r>
        <w:t xml:space="preserve">For FDSS with BWE and </w:t>
      </w:r>
      <w:r>
        <w:rPr>
          <w:lang w:val="en-GB"/>
        </w:rPr>
        <w:t>RB allocations</w:t>
      </w:r>
      <w:r>
        <w:t xml:space="preserve"> of less than 5 RBs</w:t>
      </w:r>
      <w:r>
        <w:rPr>
          <w:lang w:val="en-GB"/>
        </w:rPr>
        <w:t xml:space="preserve">, consider constructing a set of Type 1 DMRS sequences for a given RB allocation by using Zadoff-Chu sequences of two or more prime lengths. </w:t>
      </w:r>
    </w:p>
    <w:p w14:paraId="3EA0708E" w14:textId="7B381FCD" w:rsidR="000754B4" w:rsidRPr="00DF366F" w:rsidRDefault="000754B4" w:rsidP="004D36C0">
      <w:pPr>
        <w:pStyle w:val="ListParagraph"/>
        <w:numPr>
          <w:ilvl w:val="0"/>
          <w:numId w:val="56"/>
        </w:numPr>
        <w:jc w:val="both"/>
        <w:rPr>
          <w:u w:val="single"/>
        </w:rPr>
      </w:pPr>
      <w:r w:rsidRPr="000754B4">
        <w:rPr>
          <w:rFonts w:eastAsia="MS Mincho"/>
          <w:lang w:val="en-GB" w:eastAsia="en-GB"/>
        </w:rPr>
        <w:t>FFS: How to prune the combined set to obtain a final set of 30 sequences.</w:t>
      </w:r>
    </w:p>
    <w:p w14:paraId="3328F30F" w14:textId="77777777" w:rsidR="00DF366F" w:rsidRPr="000754B4" w:rsidRDefault="00DF366F" w:rsidP="001D66C5">
      <w:pPr>
        <w:pStyle w:val="ListParagraph"/>
        <w:jc w:val="both"/>
        <w:rPr>
          <w:u w:val="single"/>
        </w:rPr>
      </w:pPr>
    </w:p>
    <w:p w14:paraId="4CDD82BC" w14:textId="5635C96F" w:rsidR="000754B4" w:rsidRDefault="000754B4" w:rsidP="000754B4">
      <w:pPr>
        <w:jc w:val="both"/>
      </w:pPr>
      <w:r w:rsidRPr="008B4038">
        <w:rPr>
          <w:b/>
          <w:bCs/>
        </w:rPr>
        <w:t>Observation</w:t>
      </w:r>
      <w:r>
        <w:rPr>
          <w:b/>
          <w:bCs/>
        </w:rPr>
        <w:t xml:space="preserve"> 8</w:t>
      </w:r>
      <w:r w:rsidRPr="008B4038">
        <w:rPr>
          <w:b/>
          <w:bCs/>
        </w:rPr>
        <w:t>:</w:t>
      </w:r>
      <w:r>
        <w:t xml:space="preserve"> For a PC2 UE, when a BW expansion factor of 25% is allowed, non-transparent FDSS can result in a potential power boost of about 1.5-1.8 dB for inner RB allocations, depending on the filter used. No MPR is required for any inner or outer waveform. Note that these results do not take other RF implementation challenges into account.</w:t>
      </w:r>
    </w:p>
    <w:p w14:paraId="687D9278" w14:textId="2AC1B48F" w:rsidR="000754B4" w:rsidRDefault="000754B4" w:rsidP="000754B4">
      <w:pPr>
        <w:jc w:val="both"/>
      </w:pPr>
      <w:r w:rsidRPr="004F7173">
        <w:rPr>
          <w:b/>
          <w:bCs/>
        </w:rPr>
        <w:t>Observation</w:t>
      </w:r>
      <w:r>
        <w:rPr>
          <w:b/>
          <w:bCs/>
        </w:rPr>
        <w:t xml:space="preserve"> 9</w:t>
      </w:r>
      <w:r w:rsidRPr="004F7173">
        <w:rPr>
          <w:b/>
          <w:bCs/>
        </w:rPr>
        <w:t>:</w:t>
      </w:r>
      <w:r>
        <w:t xml:space="preserve"> Based on the set </w:t>
      </w:r>
      <w:r w:rsidRPr="001B7A9A">
        <w:t xml:space="preserve">of results presented in </w:t>
      </w:r>
      <w:r w:rsidRPr="001B7A9A">
        <w:fldChar w:fldCharType="begin"/>
      </w:r>
      <w:r w:rsidRPr="001B7A9A">
        <w:instrText xml:space="preserve"> REF _Ref127535462 \h </w:instrText>
      </w:r>
      <w:r w:rsidRPr="00321F1A">
        <w:instrText xml:space="preserve"> \* MERGEFORMAT </w:instrText>
      </w:r>
      <w:r w:rsidRPr="001B7A9A">
        <w:fldChar w:fldCharType="separate"/>
      </w:r>
      <w:r w:rsidR="00EA7EC4" w:rsidRPr="00EA7EC4">
        <w:t xml:space="preserve">Table </w:t>
      </w:r>
      <w:r w:rsidR="00EA7EC4" w:rsidRPr="00EA7EC4">
        <w:rPr>
          <w:noProof/>
        </w:rPr>
        <w:t>7</w:t>
      </w:r>
      <w:r w:rsidRPr="001B7A9A">
        <w:fldChar w:fldCharType="end"/>
      </w:r>
      <w:r w:rsidRPr="001B7A9A">
        <w:t>, the net</w:t>
      </w:r>
      <w:r>
        <w:t xml:space="preserve"> coverage gain due to FDSS varies from 0.5 to 2 dB for inner RB allocations and depends on many factors including code rate, and filter type. A loss is noted in certain scenarios with high code rates when a 3-tap filter is used. Similar observations with smaller gains can be made for outer RB allocations.</w:t>
      </w:r>
    </w:p>
    <w:p w14:paraId="0D39C047" w14:textId="7FE2AD92" w:rsidR="000754B4" w:rsidRDefault="000754B4" w:rsidP="000754B4">
      <w:pPr>
        <w:jc w:val="both"/>
      </w:pPr>
      <w:r>
        <w:rPr>
          <w:b/>
          <w:bCs/>
        </w:rPr>
        <w:t xml:space="preserve">Observation 10: </w:t>
      </w:r>
      <w:r>
        <w:t>FDSS with BWE provides marginal gains compared to transparent techniques for certain specific inner RB allocations. In some cases, a net loss in coverage of more than 0.5 dB is observed when the 3-tap filter is used. Scenarios with high coding rate seem to see a large impact --- excess BW is noted to have a detrimental impact on performance as it further increases the required coding rate.</w:t>
      </w:r>
    </w:p>
    <w:p w14:paraId="3629C40F" w14:textId="05171E51" w:rsidR="00336DF4" w:rsidRDefault="00336DF4" w:rsidP="000754B4">
      <w:pPr>
        <w:jc w:val="both"/>
      </w:pPr>
      <w:r w:rsidRPr="008B4038">
        <w:rPr>
          <w:b/>
          <w:bCs/>
        </w:rPr>
        <w:lastRenderedPageBreak/>
        <w:t>Proposal</w:t>
      </w:r>
      <w:r>
        <w:rPr>
          <w:b/>
          <w:bCs/>
        </w:rPr>
        <w:t xml:space="preserve"> </w:t>
      </w:r>
      <w:r w:rsidR="003E3CAD">
        <w:rPr>
          <w:b/>
          <w:bCs/>
        </w:rPr>
        <w:t>7</w:t>
      </w:r>
      <w:r w:rsidRPr="008B4038">
        <w:rPr>
          <w:b/>
          <w:bCs/>
        </w:rPr>
        <w:t>:</w:t>
      </w:r>
      <w: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In particular, study mechanisms required to enable a UE to transmit at a power exceeding its power class.</w:t>
      </w:r>
    </w:p>
    <w:p w14:paraId="7EA5A6F5" w14:textId="3ED7598D" w:rsidR="001D66C5" w:rsidRDefault="001D66C5" w:rsidP="001D66C5">
      <w:pPr>
        <w:jc w:val="both"/>
        <w:rPr>
          <w:lang w:val="en-GB" w:eastAsia="zh-CN"/>
        </w:rPr>
      </w:pPr>
      <w:r w:rsidRPr="00074B4D">
        <w:rPr>
          <w:b/>
          <w:bCs/>
          <w:lang w:val="en-GB" w:eastAsia="zh-CN"/>
        </w:rPr>
        <w:t>Proposal</w:t>
      </w:r>
      <w:r>
        <w:rPr>
          <w:b/>
          <w:bCs/>
          <w:lang w:val="en-GB" w:eastAsia="zh-CN"/>
        </w:rPr>
        <w:t xml:space="preserve"> </w:t>
      </w:r>
      <w:r w:rsidR="003E3CAD">
        <w:rPr>
          <w:b/>
          <w:bCs/>
          <w:lang w:val="en-GB" w:eastAsia="zh-CN"/>
        </w:rPr>
        <w:t>8</w:t>
      </w:r>
      <w:r>
        <w:rPr>
          <w:lang w:val="en-GB" w:eastAsia="zh-CN"/>
        </w:rPr>
        <w:t xml:space="preserve">: If FDSS with BWE is agreed to be specified, introduce a mechanism to dynamically enable or disable this mode of operation. </w:t>
      </w:r>
    </w:p>
    <w:p w14:paraId="52E8DC0C" w14:textId="3A7C3E1E" w:rsidR="001D66C5" w:rsidRDefault="001D66C5" w:rsidP="001D66C5">
      <w:pPr>
        <w:jc w:val="both"/>
        <w:rPr>
          <w:lang w:val="en-GB" w:eastAsia="zh-CN"/>
        </w:rPr>
      </w:pPr>
      <w:r w:rsidRPr="00E40789">
        <w:rPr>
          <w:b/>
          <w:bCs/>
          <w:lang w:val="en-GB" w:eastAsia="zh-CN"/>
        </w:rPr>
        <w:t>Proposal</w:t>
      </w:r>
      <w:r>
        <w:rPr>
          <w:b/>
          <w:bCs/>
          <w:lang w:val="en-GB" w:eastAsia="zh-CN"/>
        </w:rPr>
        <w:t xml:space="preserve"> </w:t>
      </w:r>
      <w:r w:rsidR="003E3CAD">
        <w:rPr>
          <w:b/>
          <w:bCs/>
          <w:lang w:val="en-GB" w:eastAsia="zh-CN"/>
        </w:rPr>
        <w:t>9</w:t>
      </w:r>
      <w:r>
        <w:rPr>
          <w:lang w:val="en-GB" w:eastAsia="zh-CN"/>
        </w:rPr>
        <w:t>: If FDSS with BWE is agreed to be specified, downselect one of the following approaches for indicating BWE to the UE:</w:t>
      </w:r>
    </w:p>
    <w:p w14:paraId="4A4EA3CE" w14:textId="77777777" w:rsidR="001D66C5" w:rsidRDefault="001D66C5" w:rsidP="001D66C5">
      <w:pPr>
        <w:pStyle w:val="ListParagraph"/>
        <w:numPr>
          <w:ilvl w:val="0"/>
          <w:numId w:val="64"/>
        </w:numPr>
        <w:jc w:val="both"/>
        <w:rPr>
          <w:lang w:val="en-GB" w:eastAsia="zh-CN"/>
        </w:rPr>
      </w:pPr>
      <w:r>
        <w:rPr>
          <w:lang w:val="en-GB" w:eastAsia="zh-CN"/>
        </w:rPr>
        <w:t>Option 1: Explicit indication of the number of excess RBs</w:t>
      </w:r>
    </w:p>
    <w:p w14:paraId="45EF01CF" w14:textId="77777777" w:rsidR="001D66C5" w:rsidRDefault="001D66C5" w:rsidP="001D66C5">
      <w:pPr>
        <w:pStyle w:val="ListParagraph"/>
        <w:numPr>
          <w:ilvl w:val="1"/>
          <w:numId w:val="64"/>
        </w:numPr>
        <w:jc w:val="both"/>
        <w:rPr>
          <w:lang w:val="en-GB" w:eastAsia="zh-CN"/>
        </w:rPr>
      </w:pPr>
      <w:r>
        <w:rPr>
          <w:lang w:val="en-GB" w:eastAsia="zh-CN"/>
        </w:rPr>
        <w:t>FFS: set of allowed excess RBs, for e.g., 2, 4, 6, and 8</w:t>
      </w:r>
    </w:p>
    <w:p w14:paraId="7D253238" w14:textId="77777777" w:rsidR="001D66C5" w:rsidRDefault="001D66C5" w:rsidP="001D66C5">
      <w:pPr>
        <w:pStyle w:val="ListParagraph"/>
        <w:numPr>
          <w:ilvl w:val="0"/>
          <w:numId w:val="64"/>
        </w:numPr>
        <w:jc w:val="both"/>
        <w:rPr>
          <w:lang w:val="en-GB" w:eastAsia="zh-CN"/>
        </w:rPr>
      </w:pPr>
      <w:r>
        <w:rPr>
          <w:lang w:val="en-GB" w:eastAsia="zh-CN"/>
        </w:rPr>
        <w:t>Option 2: Explicit indication of the extension factor, with number of excess RBs derived based on FDRA and the extension factor.</w:t>
      </w:r>
    </w:p>
    <w:p w14:paraId="17048E40" w14:textId="77777777" w:rsidR="001D66C5" w:rsidRPr="000559D2" w:rsidRDefault="001D66C5" w:rsidP="001D66C5">
      <w:pPr>
        <w:pStyle w:val="ListParagraph"/>
        <w:numPr>
          <w:ilvl w:val="1"/>
          <w:numId w:val="64"/>
        </w:numPr>
        <w:jc w:val="both"/>
        <w:rPr>
          <w:lang w:val="en-GB" w:eastAsia="zh-CN"/>
        </w:rPr>
      </w:pPr>
      <w:r w:rsidRPr="000559D2">
        <w:rPr>
          <w:lang w:val="en-GB" w:eastAsia="zh-CN"/>
        </w:rPr>
        <w:t>FFS: set of allowed extension factors</w:t>
      </w:r>
    </w:p>
    <w:p w14:paraId="13EE710E" w14:textId="7526A3A4" w:rsidR="00817082" w:rsidRDefault="00817082" w:rsidP="00D6038E">
      <w:pPr>
        <w:jc w:val="both"/>
        <w:rPr>
          <w:u w:val="single"/>
        </w:rPr>
      </w:pPr>
      <w:r w:rsidRPr="00AF1901">
        <w:rPr>
          <w:u w:val="single"/>
        </w:rPr>
        <w:t xml:space="preserve">On </w:t>
      </w:r>
      <w:r w:rsidR="00887B20">
        <w:rPr>
          <w:u w:val="single"/>
        </w:rPr>
        <w:t>enhancements to realize high power uplink transmissions in CA and DC</w:t>
      </w:r>
    </w:p>
    <w:p w14:paraId="6660BAD2" w14:textId="6A8267B5" w:rsidR="003D5CE8" w:rsidRDefault="003D5CE8" w:rsidP="00D6038E">
      <w:pPr>
        <w:jc w:val="both"/>
        <w:rPr>
          <w:lang w:eastAsia="zh-CN"/>
        </w:rPr>
      </w:pPr>
      <w:r w:rsidRPr="00A17FD6">
        <w:rPr>
          <w:b/>
          <w:bCs/>
          <w:lang w:eastAsia="zh-CN"/>
        </w:rPr>
        <w:t>Proposal</w:t>
      </w:r>
      <w:r>
        <w:rPr>
          <w:b/>
          <w:bCs/>
          <w:lang w:eastAsia="zh-CN"/>
        </w:rPr>
        <w:t xml:space="preserve"> </w:t>
      </w:r>
      <w:r w:rsidR="0074382A">
        <w:rPr>
          <w:b/>
          <w:bCs/>
          <w:lang w:eastAsia="zh-CN"/>
        </w:rPr>
        <w:t>10</w:t>
      </w:r>
      <w:r>
        <w:rPr>
          <w:lang w:eastAsia="zh-CN"/>
        </w:rPr>
        <w:t>: RAN1 to identify specific aspects of power-class fallback and P-MPR allowance that are useful to report from UE to gNB. RAN1 can send an LS to RAN4 indicating usefulness of these specific aspects and request RAN4 to investigate the feasibility of reporting these via the PHR framework.</w:t>
      </w:r>
    </w:p>
    <w:p w14:paraId="4390D983" w14:textId="23F0EFE6" w:rsidR="003D5CE8" w:rsidRDefault="003D5CE8" w:rsidP="00D6038E">
      <w:pPr>
        <w:jc w:val="both"/>
        <w:rPr>
          <w:lang w:eastAsia="zh-CN"/>
        </w:rPr>
      </w:pPr>
      <w:r w:rsidRPr="004722A5">
        <w:rPr>
          <w:b/>
          <w:bCs/>
          <w:lang w:eastAsia="zh-CN"/>
        </w:rPr>
        <w:t>Proposal</w:t>
      </w:r>
      <w:r>
        <w:rPr>
          <w:b/>
          <w:bCs/>
          <w:lang w:eastAsia="zh-CN"/>
        </w:rPr>
        <w:t xml:space="preserve"> </w:t>
      </w:r>
      <w:r w:rsidR="0074382A">
        <w:rPr>
          <w:b/>
          <w:bCs/>
          <w:lang w:eastAsia="zh-CN"/>
        </w:rPr>
        <w:t>11</w:t>
      </w:r>
      <w:r>
        <w:rPr>
          <w:lang w:eastAsia="zh-CN"/>
        </w:rPr>
        <w:t>: For R18 CA/DC enhancements, repurpose the existing PHR framework to report any new parameters that are agreed to be shared by the UE to the gNB. Enhancements could include the addition of new octets to accommodate new fields, new trigger conditions, new procedures for computing certain fields, finer granularity for reporting existing fields, etc.</w:t>
      </w:r>
    </w:p>
    <w:p w14:paraId="496F0CD0" w14:textId="7196F7E6" w:rsidR="00C401E8" w:rsidRPr="00C401E8" w:rsidRDefault="00C401E8" w:rsidP="00D6038E">
      <w:pPr>
        <w:jc w:val="both"/>
        <w:rPr>
          <w:u w:val="single"/>
          <w:lang w:eastAsia="zh-CN"/>
        </w:rPr>
      </w:pPr>
      <w:r w:rsidRPr="00C401E8">
        <w:rPr>
          <w:u w:val="single"/>
          <w:lang w:eastAsia="zh-CN"/>
        </w:rPr>
        <w:t>On power-class fallback</w:t>
      </w:r>
    </w:p>
    <w:p w14:paraId="1E1B9913" w14:textId="3634A5CC" w:rsidR="003A6A98" w:rsidRDefault="003A6A98" w:rsidP="00D6038E">
      <w:pPr>
        <w:jc w:val="both"/>
        <w:rPr>
          <w:lang w:val="en-GB" w:eastAsia="zh-CN"/>
        </w:rPr>
      </w:pPr>
      <w:r w:rsidRPr="00E60ECC">
        <w:rPr>
          <w:b/>
          <w:bCs/>
          <w:lang w:val="en-GB" w:eastAsia="zh-CN"/>
        </w:rPr>
        <w:t>Observation</w:t>
      </w:r>
      <w:r>
        <w:rPr>
          <w:b/>
          <w:bCs/>
          <w:lang w:eastAsia="zh-CN"/>
        </w:rPr>
        <w:t xml:space="preserve"> 11</w:t>
      </w:r>
      <w:r>
        <w:rPr>
          <w:lang w:val="en-GB" w:eastAsia="zh-CN"/>
        </w:rPr>
        <w:t>: Power-class fallback may not be necessary for a UE that is not transmitting at high power levels even if duty cycle constraints are violated.</w:t>
      </w:r>
    </w:p>
    <w:p w14:paraId="1CC95575" w14:textId="382069B5" w:rsidR="003D0303" w:rsidRDefault="003D0303" w:rsidP="00D6038E">
      <w:pPr>
        <w:jc w:val="both"/>
        <w:rPr>
          <w:lang w:val="en-GB" w:eastAsia="zh-CN"/>
        </w:rPr>
      </w:pPr>
      <w:r w:rsidRPr="00E60ECC">
        <w:rPr>
          <w:b/>
          <w:bCs/>
          <w:lang w:val="en-GB" w:eastAsia="zh-CN"/>
        </w:rPr>
        <w:t>Observation</w:t>
      </w:r>
      <w:r>
        <w:rPr>
          <w:b/>
          <w:bCs/>
          <w:lang w:eastAsia="zh-CN"/>
        </w:rPr>
        <w:t xml:space="preserve"> 12</w:t>
      </w:r>
      <w:r>
        <w:rPr>
          <w:lang w:val="en-GB" w:eastAsia="zh-CN"/>
        </w:rPr>
        <w:t xml:space="preserve">: When a </w:t>
      </w:r>
      <w:r w:rsidRPr="001B7A9A">
        <w:rPr>
          <w:lang w:val="en-GB" w:eastAsia="zh-CN"/>
        </w:rPr>
        <w:t xml:space="preserve">UE indicates </w:t>
      </w:r>
      <w:r>
        <w:rPr>
          <w:lang w:val="en-GB" w:eastAsia="zh-CN"/>
        </w:rPr>
        <w:t>support for “</w:t>
      </w:r>
      <w:r w:rsidRPr="001B7A9A">
        <w:rPr>
          <w:lang w:val="en-GB" w:eastAsia="zh-CN"/>
        </w:rPr>
        <w:t>HigherPowerLimitCADC</w:t>
      </w:r>
      <w:r>
        <w:rPr>
          <w:lang w:val="en-GB" w:eastAsia="zh-CN"/>
        </w:rPr>
        <w:t>” and gNB enables this feature, whether the legacy per-band-combination power class applies or not depends on whether the UE takes a power class fallback in any one of the underlying bands.</w:t>
      </w:r>
    </w:p>
    <w:p w14:paraId="4E842795" w14:textId="52893229" w:rsidR="00B912FF" w:rsidRDefault="00B912FF" w:rsidP="00D6038E">
      <w:pPr>
        <w:jc w:val="both"/>
        <w:rPr>
          <w:rFonts w:eastAsia="Times New Roman"/>
        </w:rPr>
      </w:pPr>
      <w:r w:rsidRPr="008B4038">
        <w:rPr>
          <w:rFonts w:eastAsia="Times New Roman"/>
          <w:b/>
          <w:bCs/>
        </w:rPr>
        <w:t>Observation</w:t>
      </w:r>
      <w:r>
        <w:rPr>
          <w:rFonts w:eastAsia="Times New Roman"/>
          <w:b/>
          <w:bCs/>
        </w:rPr>
        <w:t xml:space="preserve"> 13</w:t>
      </w:r>
      <w:r w:rsidRPr="008B4038">
        <w:rPr>
          <w:rFonts w:eastAsia="Times New Roman"/>
          <w:b/>
          <w:bCs/>
        </w:rPr>
        <w:t>:</w:t>
      </w:r>
      <w:r w:rsidRPr="00094747">
        <w:rPr>
          <w:rFonts w:eastAsia="Times New Roman"/>
        </w:rPr>
        <w:t xml:space="preserve"> </w:t>
      </w:r>
      <w:r>
        <w:rPr>
          <w:rFonts w:eastAsia="Times New Roman"/>
        </w:rPr>
        <w:t xml:space="preserve">Reporting the current power class </w:t>
      </w:r>
      <w:r w:rsidRPr="00094747">
        <w:rPr>
          <w:rFonts w:eastAsia="Times New Roman"/>
        </w:rPr>
        <w:t xml:space="preserve">does not provide the network with any </w:t>
      </w:r>
      <w:r>
        <w:rPr>
          <w:rFonts w:eastAsia="Times New Roman"/>
        </w:rPr>
        <w:t>actionable</w:t>
      </w:r>
      <w:r w:rsidRPr="00094747">
        <w:rPr>
          <w:rFonts w:eastAsia="Times New Roman"/>
        </w:rPr>
        <w:t xml:space="preserve"> information that would help </w:t>
      </w:r>
      <w:r>
        <w:rPr>
          <w:rFonts w:eastAsia="Times New Roman"/>
        </w:rPr>
        <w:t>the gNB to alter its future scheduling. It is more useful for the network to know how long a UE is capable of operating at a certain power class or alternately, how long a power class fallback is likely to continue.</w:t>
      </w:r>
    </w:p>
    <w:p w14:paraId="746DDBE1" w14:textId="25BAA696" w:rsidR="00DA1507" w:rsidRDefault="00DA1507" w:rsidP="00DA1507">
      <w:pPr>
        <w:overflowPunct/>
        <w:autoSpaceDE/>
        <w:autoSpaceDN/>
        <w:adjustRightInd/>
        <w:spacing w:before="100" w:beforeAutospacing="1" w:after="100" w:afterAutospacing="1"/>
        <w:jc w:val="both"/>
        <w:textAlignment w:val="auto"/>
        <w:rPr>
          <w:rFonts w:eastAsia="Times New Roman"/>
        </w:rPr>
      </w:pPr>
      <w:r w:rsidRPr="008B4038">
        <w:rPr>
          <w:rFonts w:eastAsia="Times New Roman"/>
          <w:b/>
          <w:bCs/>
        </w:rPr>
        <w:t>Proposal</w:t>
      </w:r>
      <w:r>
        <w:rPr>
          <w:rFonts w:eastAsia="Times New Roman"/>
          <w:b/>
          <w:bCs/>
        </w:rPr>
        <w:t xml:space="preserve"> </w:t>
      </w:r>
      <w:r w:rsidR="00704B9E">
        <w:rPr>
          <w:rFonts w:eastAsia="Times New Roman"/>
          <w:b/>
          <w:bCs/>
        </w:rPr>
        <w:t>1</w:t>
      </w:r>
      <w:r w:rsidR="0074382A">
        <w:rPr>
          <w:rFonts w:eastAsia="Times New Roman"/>
          <w:b/>
          <w:bCs/>
        </w:rPr>
        <w:t>2</w:t>
      </w:r>
      <w:r w:rsidRPr="008B4038">
        <w:rPr>
          <w:rFonts w:eastAsia="Times New Roman"/>
          <w:b/>
          <w:bCs/>
        </w:rPr>
        <w:t>:</w:t>
      </w:r>
      <w:r>
        <w:rPr>
          <w:rFonts w:eastAsia="Times New Roman"/>
        </w:rPr>
        <w:t xml:space="preserve"> To facilitate better understanding at the gNB of UE’s operations in relation to power class fallback, consider introducing a power class indicator along with additional </w:t>
      </w:r>
      <w:r w:rsidR="004D36C0">
        <w:rPr>
          <w:rFonts w:eastAsia="Times New Roman"/>
        </w:rPr>
        <w:t>signaling</w:t>
      </w:r>
      <w:r>
        <w:rPr>
          <w:rFonts w:eastAsia="Times New Roman"/>
        </w:rPr>
        <w:t xml:space="preserve"> to </w:t>
      </w:r>
    </w:p>
    <w:p w14:paraId="3A45EDAC" w14:textId="77777777" w:rsidR="00A82A3C" w:rsidRPr="00A82A3C" w:rsidRDefault="00DA1507"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lang w:val="en-GB" w:eastAsia="en-GB"/>
        </w:rPr>
      </w:pPr>
      <w:r>
        <w:rPr>
          <w:rFonts w:eastAsia="Times New Roman"/>
        </w:rPr>
        <w:t>i</w:t>
      </w:r>
      <w:r w:rsidRPr="00A007DF">
        <w:rPr>
          <w:rFonts w:eastAsia="Times New Roman"/>
          <w:lang w:val="en-GB" w:eastAsia="en-GB"/>
        </w:rPr>
        <w:t>ndicate the estimat</w:t>
      </w:r>
      <w:r>
        <w:rPr>
          <w:rFonts w:eastAsia="Times New Roman"/>
        </w:rPr>
        <w:t>ed</w:t>
      </w:r>
      <w:r w:rsidRPr="00A007DF">
        <w:rPr>
          <w:rFonts w:eastAsia="Times New Roman"/>
          <w:lang w:val="en-GB" w:eastAsia="en-GB"/>
        </w:rPr>
        <w:t xml:space="preserve"> duration of power class fallback</w:t>
      </w:r>
      <w:r>
        <w:rPr>
          <w:rFonts w:eastAsia="Times New Roman"/>
        </w:rPr>
        <w:t xml:space="preserve"> (for a UE operating at a lower power class)</w:t>
      </w:r>
      <w:r w:rsidRPr="00A007DF">
        <w:rPr>
          <w:rFonts w:eastAsia="Times New Roman"/>
          <w:lang w:val="en-GB" w:eastAsia="en-GB"/>
        </w:rPr>
        <w:t>,</w:t>
      </w:r>
      <w:r>
        <w:rPr>
          <w:rFonts w:eastAsia="Times New Roman"/>
        </w:rPr>
        <w:t xml:space="preserve"> </w:t>
      </w:r>
      <w:r w:rsidRPr="00A007DF">
        <w:rPr>
          <w:rFonts w:eastAsia="Times New Roman"/>
          <w:lang w:val="en-GB" w:eastAsia="en-GB"/>
        </w:rPr>
        <w:t>or</w:t>
      </w:r>
      <w:r>
        <w:rPr>
          <w:rFonts w:eastAsia="Times New Roman"/>
        </w:rPr>
        <w:t xml:space="preserve"> to</w:t>
      </w:r>
    </w:p>
    <w:p w14:paraId="74563924" w14:textId="662C290F" w:rsidR="00DA1507" w:rsidRPr="00A82A3C" w:rsidRDefault="00DA1507"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lang w:val="en-GB" w:eastAsia="en-GB"/>
        </w:rPr>
      </w:pPr>
      <w:r w:rsidRPr="00A82A3C">
        <w:rPr>
          <w:rFonts w:eastAsia="Times New Roman"/>
          <w:lang w:val="en-GB" w:eastAsia="en-GB"/>
        </w:rPr>
        <w:t xml:space="preserve">indicate the </w:t>
      </w:r>
      <w:r w:rsidRPr="00A82A3C">
        <w:rPr>
          <w:rFonts w:eastAsia="Times New Roman"/>
        </w:rPr>
        <w:t xml:space="preserve">maximum </w:t>
      </w:r>
      <w:r w:rsidRPr="00A82A3C">
        <w:rPr>
          <w:rFonts w:eastAsia="Times New Roman"/>
          <w:lang w:val="en-GB" w:eastAsia="en-GB"/>
        </w:rPr>
        <w:t>duty cycle over a certain duration that</w:t>
      </w:r>
      <w:r w:rsidRPr="00A82A3C">
        <w:rPr>
          <w:rFonts w:eastAsia="Times New Roman"/>
        </w:rPr>
        <w:t xml:space="preserve"> a UE is able to support without </w:t>
      </w:r>
      <w:r w:rsidRPr="00A82A3C">
        <w:rPr>
          <w:rFonts w:eastAsia="Times New Roman"/>
          <w:lang w:val="en-GB" w:eastAsia="en-GB"/>
        </w:rPr>
        <w:t>triggering a power class fallback</w:t>
      </w:r>
      <w:r w:rsidRPr="00A82A3C">
        <w:rPr>
          <w:rFonts w:eastAsia="Times New Roman"/>
        </w:rPr>
        <w:t xml:space="preserve"> (for a UE operating at a higher power class)</w:t>
      </w:r>
    </w:p>
    <w:p w14:paraId="2BEC29F4" w14:textId="20EBAD3A" w:rsidR="00C401E8" w:rsidRPr="00C401E8" w:rsidRDefault="00C401E8" w:rsidP="00A82A3C">
      <w:pPr>
        <w:overflowPunct/>
        <w:autoSpaceDE/>
        <w:autoSpaceDN/>
        <w:adjustRightInd/>
        <w:spacing w:before="100" w:beforeAutospacing="1" w:after="100" w:afterAutospacing="1"/>
        <w:jc w:val="both"/>
        <w:textAlignment w:val="auto"/>
        <w:rPr>
          <w:u w:val="single"/>
          <w:lang w:eastAsia="zh-CN"/>
        </w:rPr>
      </w:pPr>
      <w:r w:rsidRPr="00C401E8">
        <w:rPr>
          <w:u w:val="single"/>
          <w:lang w:eastAsia="zh-CN"/>
        </w:rPr>
        <w:t>On P-MPR allowance</w:t>
      </w:r>
    </w:p>
    <w:p w14:paraId="47300375" w14:textId="7AEE8834" w:rsidR="00A82A3C" w:rsidRDefault="00A82A3C"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14</w:t>
      </w:r>
      <w:r w:rsidRPr="00B87DE4">
        <w:rPr>
          <w:b/>
          <w:bCs/>
          <w:lang w:eastAsia="zh-CN"/>
        </w:rPr>
        <w:t>:</w:t>
      </w:r>
      <w:r>
        <w:rPr>
          <w:lang w:eastAsia="zh-CN"/>
        </w:rPr>
        <w:t xml:space="preserve"> Regulatory constraints on RF exposure are determined by time-averaged RF exposure and not by instantaneous RF exposure.</w:t>
      </w:r>
    </w:p>
    <w:p w14:paraId="3581951B" w14:textId="79E6BED1" w:rsidR="00A82A3C" w:rsidRDefault="00A82A3C"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15</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w:t>
      </w:r>
    </w:p>
    <w:p w14:paraId="2433458C" w14:textId="409ACE21" w:rsidR="00C401E8" w:rsidRDefault="00C401E8"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16</w:t>
      </w:r>
      <w:r w:rsidRPr="00B87DE4">
        <w:rPr>
          <w:b/>
          <w:bCs/>
          <w:lang w:eastAsia="zh-CN"/>
        </w:rPr>
        <w:t>:</w:t>
      </w:r>
      <w:r>
        <w:rPr>
          <w:lang w:eastAsia="zh-CN"/>
        </w:rPr>
        <w:t xml:space="preserve"> Existing PHR mechanism only carries information on instantaneous power levels used by a UE.</w:t>
      </w:r>
    </w:p>
    <w:p w14:paraId="0DE29013" w14:textId="494A0249" w:rsidR="00C401E8" w:rsidRDefault="00C401E8"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17</w:t>
      </w:r>
      <w:r w:rsidRPr="00B87DE4">
        <w:rPr>
          <w:b/>
          <w:bCs/>
          <w:lang w:eastAsia="zh-CN"/>
        </w:rPr>
        <w:t>:</w:t>
      </w:r>
      <w:r>
        <w:rPr>
          <w:lang w:eastAsia="zh-CN"/>
        </w:rPr>
        <w:t xml:space="preserve"> For FR1 carriers, existing PHR mechanism does not allow a UE to report the applied power backoff due to RF exposure requirements.</w:t>
      </w:r>
    </w:p>
    <w:p w14:paraId="374698AA" w14:textId="2911C86D" w:rsidR="00C401E8" w:rsidRDefault="00C401E8" w:rsidP="00A82A3C">
      <w:pPr>
        <w:overflowPunct/>
        <w:autoSpaceDE/>
        <w:autoSpaceDN/>
        <w:adjustRightInd/>
        <w:spacing w:before="100" w:beforeAutospacing="1" w:after="100" w:afterAutospacing="1"/>
        <w:jc w:val="both"/>
        <w:textAlignment w:val="auto"/>
        <w:rPr>
          <w:lang w:eastAsia="zh-CN"/>
        </w:rPr>
      </w:pPr>
      <w:r w:rsidRPr="00B87DE4">
        <w:rPr>
          <w:b/>
          <w:bCs/>
          <w:lang w:eastAsia="zh-CN"/>
        </w:rPr>
        <w:lastRenderedPageBreak/>
        <w:t>Observation</w:t>
      </w:r>
      <w:r>
        <w:rPr>
          <w:b/>
          <w:bCs/>
          <w:lang w:eastAsia="zh-CN"/>
        </w:rPr>
        <w:t xml:space="preserve"> 18</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w:t>
      </w:r>
    </w:p>
    <w:p w14:paraId="2A42D20B" w14:textId="30AA8436" w:rsidR="003D5A5F" w:rsidRDefault="003D5A5F" w:rsidP="00A82A3C">
      <w:pPr>
        <w:overflowPunct/>
        <w:autoSpaceDE/>
        <w:autoSpaceDN/>
        <w:adjustRightInd/>
        <w:spacing w:before="100" w:beforeAutospacing="1" w:after="100" w:afterAutospacing="1"/>
        <w:jc w:val="both"/>
        <w:textAlignment w:val="auto"/>
        <w:rPr>
          <w:lang w:eastAsia="ja-JP"/>
        </w:rPr>
      </w:pPr>
      <w:r w:rsidRPr="00B87DE4">
        <w:rPr>
          <w:b/>
          <w:bCs/>
          <w:lang w:eastAsia="ja-JP"/>
        </w:rPr>
        <w:t>Observation</w:t>
      </w:r>
      <w:r>
        <w:rPr>
          <w:b/>
          <w:bCs/>
          <w:lang w:eastAsia="ja-JP"/>
        </w:rPr>
        <w:t xml:space="preserve"> 19:</w:t>
      </w:r>
      <w:r>
        <w:rPr>
          <w:lang w:eastAsia="ja-JP"/>
        </w:rPr>
        <w:t xml:space="preserve"> Higher-power limit for inter-band UL-CA benefits the cell-edge UEs by reducing the impact of power sharing across simultaneous transmissions over multiple carriers and enhances the UE throughput.</w:t>
      </w:r>
    </w:p>
    <w:p w14:paraId="189ECF35" w14:textId="32270257" w:rsidR="003D5A5F" w:rsidRDefault="003D5A5F" w:rsidP="00A82A3C">
      <w:pPr>
        <w:overflowPunct/>
        <w:autoSpaceDE/>
        <w:autoSpaceDN/>
        <w:adjustRightInd/>
        <w:spacing w:before="100" w:beforeAutospacing="1" w:after="100" w:afterAutospacing="1"/>
        <w:jc w:val="both"/>
        <w:textAlignment w:val="auto"/>
        <w:rPr>
          <w:lang w:eastAsia="zh-CN"/>
        </w:rPr>
      </w:pPr>
      <w:r w:rsidRPr="00B87DE4">
        <w:rPr>
          <w:b/>
          <w:bCs/>
          <w:lang w:eastAsia="zh-CN"/>
        </w:rPr>
        <w:t>Proposal</w:t>
      </w:r>
      <w:r>
        <w:rPr>
          <w:b/>
          <w:bCs/>
          <w:lang w:eastAsia="zh-CN"/>
        </w:rPr>
        <w:t xml:space="preserve"> </w:t>
      </w:r>
      <w:r w:rsidR="00704B9E">
        <w:rPr>
          <w:b/>
          <w:bCs/>
          <w:lang w:eastAsia="zh-CN"/>
        </w:rPr>
        <w:t>1</w:t>
      </w:r>
      <w:r w:rsidR="0074382A">
        <w:rPr>
          <w:b/>
          <w:bCs/>
          <w:lang w:eastAsia="zh-CN"/>
        </w:rPr>
        <w:t>3</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p w14:paraId="3496E129" w14:textId="7715674A" w:rsidR="00BD50AC" w:rsidRDefault="00BD50AC" w:rsidP="00A82A3C">
      <w:pPr>
        <w:overflowPunct/>
        <w:autoSpaceDE/>
        <w:autoSpaceDN/>
        <w:adjustRightInd/>
        <w:spacing w:before="100" w:beforeAutospacing="1" w:after="100" w:afterAutospacing="1"/>
        <w:jc w:val="both"/>
        <w:textAlignment w:val="auto"/>
        <w:rPr>
          <w:lang w:eastAsia="zh-CN"/>
        </w:rPr>
      </w:pPr>
      <w:r w:rsidRPr="002D70EA">
        <w:rPr>
          <w:b/>
          <w:bCs/>
          <w:lang w:val="en-GB" w:eastAsia="zh-CN"/>
        </w:rPr>
        <w:t>Proposal</w:t>
      </w:r>
      <w:r>
        <w:rPr>
          <w:b/>
          <w:bCs/>
          <w:lang w:val="en-GB" w:eastAsia="zh-CN"/>
        </w:rPr>
        <w:t xml:space="preserve"> 1</w:t>
      </w:r>
      <w:r w:rsidR="0074382A">
        <w:rPr>
          <w:b/>
          <w:bCs/>
          <w:lang w:val="en-GB" w:eastAsia="zh-CN"/>
        </w:rPr>
        <w:t>4</w:t>
      </w:r>
      <w:r w:rsidRPr="002D70EA">
        <w:rPr>
          <w:b/>
          <w:bCs/>
          <w:lang w:val="en-GB" w:eastAsia="zh-CN"/>
        </w:rPr>
        <w:t>:</w:t>
      </w:r>
      <w:r>
        <w:rPr>
          <w:lang w:val="en-GB" w:eastAsia="zh-CN"/>
        </w:rPr>
        <w:t xml:space="preserve"> When computing PHR based on a reference PUSCH, allow a UE to set P-MPR to a non-zero value and allow the UE to report the resulting Pcmax.</w:t>
      </w:r>
    </w:p>
    <w:p w14:paraId="4ACF18C3" w14:textId="2A41ACB1" w:rsidR="00BD50AC" w:rsidRDefault="00BD50AC" w:rsidP="00A82A3C">
      <w:pPr>
        <w:overflowPunct/>
        <w:autoSpaceDE/>
        <w:autoSpaceDN/>
        <w:adjustRightInd/>
        <w:spacing w:before="100" w:beforeAutospacing="1" w:after="100" w:afterAutospacing="1"/>
        <w:jc w:val="both"/>
        <w:textAlignment w:val="auto"/>
        <w:rPr>
          <w:lang w:eastAsia="zh-CN"/>
        </w:rPr>
      </w:pPr>
      <w:r w:rsidRPr="00B87DE4">
        <w:rPr>
          <w:b/>
          <w:bCs/>
          <w:lang w:eastAsia="zh-CN"/>
        </w:rPr>
        <w:t>Proposal</w:t>
      </w:r>
      <w:r>
        <w:rPr>
          <w:b/>
          <w:bCs/>
          <w:lang w:eastAsia="zh-CN"/>
        </w:rPr>
        <w:t xml:space="preserve"> 1</w:t>
      </w:r>
      <w:r w:rsidR="0074382A">
        <w:rPr>
          <w:b/>
          <w:bCs/>
          <w:lang w:eastAsia="zh-CN"/>
        </w:rPr>
        <w:t>5</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p w14:paraId="1A32624F" w14:textId="4BB69F12" w:rsidR="00BD50AC" w:rsidRPr="00A82A3C" w:rsidRDefault="00BD50AC" w:rsidP="00A82A3C">
      <w:pPr>
        <w:overflowPunct/>
        <w:autoSpaceDE/>
        <w:autoSpaceDN/>
        <w:adjustRightInd/>
        <w:spacing w:before="100" w:beforeAutospacing="1" w:after="100" w:afterAutospacing="1"/>
        <w:jc w:val="both"/>
        <w:textAlignment w:val="auto"/>
        <w:rPr>
          <w:rFonts w:eastAsia="Times New Roman"/>
          <w:lang w:val="en-GB" w:eastAsia="en-GB"/>
        </w:rPr>
      </w:pPr>
      <w:r w:rsidRPr="00321F1A">
        <w:rPr>
          <w:b/>
          <w:bCs/>
          <w:lang w:eastAsia="ja-JP"/>
        </w:rPr>
        <w:t xml:space="preserve">Proposal </w:t>
      </w:r>
      <w:r>
        <w:rPr>
          <w:b/>
          <w:bCs/>
          <w:lang w:eastAsia="ja-JP"/>
        </w:rPr>
        <w:t>1</w:t>
      </w:r>
      <w:r w:rsidR="0074382A">
        <w:rPr>
          <w:b/>
          <w:bCs/>
          <w:lang w:eastAsia="ja-JP"/>
        </w:rPr>
        <w:t>6</w:t>
      </w:r>
      <w:r w:rsidRPr="00667CC6">
        <w:rPr>
          <w:lang w:eastAsia="ja-JP"/>
        </w:rPr>
        <w:t xml:space="preserve">: </w:t>
      </w:r>
      <w:r w:rsidRPr="00667CC6">
        <w:rPr>
          <w:lang w:eastAsia="zh-CN"/>
        </w:rPr>
        <w:t xml:space="preserve">Enhance the current power headroom reporting framework </w:t>
      </w:r>
      <w:r>
        <w:rPr>
          <w:lang w:eastAsia="zh-CN"/>
        </w:rPr>
        <w:t xml:space="preserve">to allow a user to report the duration over which the reported Pcmax can be sustained. </w:t>
      </w:r>
      <w:r w:rsidRPr="00C34873">
        <w:rPr>
          <w:rFonts w:eastAsia="MS Mincho"/>
          <w:lang w:val="en-GB" w:eastAsia="ja-JP"/>
        </w:rPr>
        <w:tab/>
      </w:r>
    </w:p>
    <w:bookmarkEnd w:id="32"/>
    <w:p w14:paraId="02810CFE" w14:textId="77777777" w:rsidR="00746535" w:rsidRDefault="00746535" w:rsidP="00746535">
      <w:pPr>
        <w:pStyle w:val="Heading1"/>
      </w:pPr>
      <w:r>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36" w:name="_Ref53745301"/>
      <w:bookmarkStart w:id="37" w:name="_Ref40432871"/>
      <w:bookmarkStart w:id="38" w:name="_Ref40108232"/>
      <w:r w:rsidRPr="00B053DD">
        <w:t>R1-200862</w:t>
      </w:r>
      <w:r>
        <w:t>4,</w:t>
      </w:r>
      <w:r w:rsidRPr="00016B6D">
        <w:t xml:space="preserve"> </w:t>
      </w:r>
      <w:r>
        <w:t xml:space="preserve">Baseline FR1 coverage performance, RAN1 103-e, </w:t>
      </w:r>
      <w:r w:rsidRPr="00B053DD">
        <w:t>October 26th – November 13th, 2020</w:t>
      </w:r>
      <w:r>
        <w:t>.</w:t>
      </w:r>
      <w:bookmarkEnd w:id="36"/>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39" w:name="_Ref53745304"/>
      <w:r w:rsidRPr="00B053DD">
        <w:t>R1-200862</w:t>
      </w:r>
      <w:r>
        <w:t xml:space="preserve">5, Baseline FR2 coverage performance, RAN1 103-e, </w:t>
      </w:r>
      <w:r w:rsidRPr="00B053DD">
        <w:t>October 26th – November 13th, 2020</w:t>
      </w:r>
      <w:r>
        <w:t>.</w:t>
      </w:r>
      <w:bookmarkEnd w:id="39"/>
    </w:p>
    <w:p w14:paraId="7484543C" w14:textId="58988D88" w:rsidR="00546EFA" w:rsidRPr="00AD66C6" w:rsidRDefault="008A607C" w:rsidP="008A607C">
      <w:pPr>
        <w:numPr>
          <w:ilvl w:val="0"/>
          <w:numId w:val="25"/>
        </w:numPr>
        <w:jc w:val="both"/>
      </w:pPr>
      <w:bookmarkStart w:id="40" w:name="_Ref48146365"/>
      <w:bookmarkEnd w:id="37"/>
      <w:bookmarkEnd w:id="38"/>
      <w:r w:rsidRPr="008A607C">
        <w:rPr>
          <w:i/>
          <w:iCs/>
        </w:rPr>
        <w:t>J. Tellado, Multicarrier Modulation With Low PAR: Applications to DSL and Wireless, 2000</w:t>
      </w:r>
      <w:bookmarkEnd w:id="40"/>
    </w:p>
    <w:p w14:paraId="67A9829E" w14:textId="61155AD9" w:rsidR="009111CA" w:rsidRPr="00321F1A" w:rsidRDefault="00AD66C6" w:rsidP="00AF1901">
      <w:pPr>
        <w:numPr>
          <w:ilvl w:val="0"/>
          <w:numId w:val="25"/>
        </w:numPr>
        <w:jc w:val="both"/>
        <w:rPr>
          <w:lang w:val="en-GB"/>
        </w:rPr>
      </w:pPr>
      <w:bookmarkStart w:id="41"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41"/>
    </w:p>
    <w:p w14:paraId="0D2115B7" w14:textId="529A9847" w:rsidR="00A41936" w:rsidRPr="00321F1A" w:rsidRDefault="00A41936" w:rsidP="00AF1901">
      <w:pPr>
        <w:numPr>
          <w:ilvl w:val="0"/>
          <w:numId w:val="25"/>
        </w:numPr>
        <w:jc w:val="both"/>
        <w:rPr>
          <w:lang w:val="en-GB"/>
        </w:rPr>
      </w:pPr>
      <w:r>
        <w:rPr>
          <w:rFonts w:eastAsia="MS Mincho" w:hint="eastAsia"/>
          <w:lang w:eastAsia="ja-JP"/>
        </w:rPr>
        <w:t>R</w:t>
      </w:r>
      <w:r>
        <w:rPr>
          <w:rFonts w:eastAsia="MS Mincho"/>
          <w:lang w:eastAsia="ja-JP"/>
        </w:rPr>
        <w:t>4-</w:t>
      </w:r>
      <w:r w:rsidR="00C13E76">
        <w:rPr>
          <w:rFonts w:eastAsia="MS Mincho"/>
          <w:lang w:eastAsia="ja-JP"/>
        </w:rPr>
        <w:t xml:space="preserve">2210767, Increasing the maximum power limit for inter-band UL CA, RAN4 </w:t>
      </w:r>
      <w:r w:rsidR="00E87938">
        <w:rPr>
          <w:rFonts w:eastAsia="MS Mincho"/>
          <w:lang w:eastAsia="ja-JP"/>
        </w:rPr>
        <w:t xml:space="preserve">103-e, </w:t>
      </w:r>
      <w:r w:rsidR="00D97946">
        <w:rPr>
          <w:rFonts w:eastAsia="MS Mincho"/>
          <w:lang w:eastAsia="ja-JP"/>
        </w:rPr>
        <w:t>May 9th – 20th, 2022.</w:t>
      </w:r>
    </w:p>
    <w:p w14:paraId="1075C269" w14:textId="29C9C9AA" w:rsidR="009111CA" w:rsidRPr="00546EFA" w:rsidRDefault="00E87938" w:rsidP="00AF1901">
      <w:pPr>
        <w:numPr>
          <w:ilvl w:val="0"/>
          <w:numId w:val="25"/>
        </w:numPr>
        <w:jc w:val="both"/>
        <w:rPr>
          <w:lang w:val="en-GB"/>
        </w:rPr>
      </w:pPr>
      <w:r>
        <w:rPr>
          <w:rFonts w:eastAsia="MS Mincho" w:hint="eastAsia"/>
          <w:lang w:eastAsia="ja-JP"/>
        </w:rPr>
        <w:t>R</w:t>
      </w:r>
      <w:r>
        <w:rPr>
          <w:rFonts w:eastAsia="MS Mincho"/>
          <w:lang w:eastAsia="ja-JP"/>
        </w:rPr>
        <w:t>4-2210</w:t>
      </w:r>
      <w:r w:rsidR="007E13DB">
        <w:rPr>
          <w:rFonts w:eastAsia="MS Mincho"/>
          <w:lang w:eastAsia="ja-JP"/>
        </w:rPr>
        <w:t xml:space="preserve">768, Increasing the maximum power limit for inter-band UL DC, RAN4 103-e, </w:t>
      </w:r>
      <w:r w:rsidR="00D97946">
        <w:rPr>
          <w:rFonts w:eastAsia="MS Mincho"/>
          <w:lang w:eastAsia="ja-JP"/>
        </w:rPr>
        <w:t>May 9th – 20th, 2022.</w:t>
      </w:r>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081BDA" w14:textId="77777777" w:rsidR="00A92159" w:rsidRDefault="00A92159" w:rsidP="00746535">
      <w:pPr>
        <w:spacing w:after="0"/>
      </w:pPr>
      <w:r>
        <w:separator/>
      </w:r>
    </w:p>
  </w:endnote>
  <w:endnote w:type="continuationSeparator" w:id="0">
    <w:p w14:paraId="5992F891" w14:textId="77777777" w:rsidR="00A92159" w:rsidRDefault="00A92159" w:rsidP="00746535">
      <w:pPr>
        <w:spacing w:after="0"/>
      </w:pPr>
      <w:r>
        <w:continuationSeparator/>
      </w:r>
    </w:p>
  </w:endnote>
  <w:endnote w:type="continuationNotice" w:id="1">
    <w:p w14:paraId="78781ADA" w14:textId="77777777" w:rsidR="00A92159" w:rsidRDefault="00A921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CB1BC" w14:textId="77777777" w:rsidR="00A92159" w:rsidRDefault="00A92159" w:rsidP="00746535">
      <w:pPr>
        <w:spacing w:after="0"/>
      </w:pPr>
      <w:r>
        <w:separator/>
      </w:r>
    </w:p>
  </w:footnote>
  <w:footnote w:type="continuationSeparator" w:id="0">
    <w:p w14:paraId="7053FC4C" w14:textId="77777777" w:rsidR="00A92159" w:rsidRDefault="00A92159" w:rsidP="00746535">
      <w:pPr>
        <w:spacing w:after="0"/>
      </w:pPr>
      <w:r>
        <w:continuationSeparator/>
      </w:r>
    </w:p>
  </w:footnote>
  <w:footnote w:type="continuationNotice" w:id="1">
    <w:p w14:paraId="491E4BA7" w14:textId="77777777" w:rsidR="00A92159" w:rsidRDefault="00A9215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CC2EE5"/>
    <w:multiLevelType w:val="hybridMultilevel"/>
    <w:tmpl w:val="91EEF93E"/>
    <w:lvl w:ilvl="0" w:tplc="6464B970">
      <w:start w:val="1"/>
      <w:numFmt w:val="bullet"/>
      <w:lvlText w:val="•"/>
      <w:lvlJc w:val="left"/>
      <w:pPr>
        <w:tabs>
          <w:tab w:val="num" w:pos="720"/>
        </w:tabs>
        <w:ind w:left="720" w:hanging="360"/>
      </w:pPr>
      <w:rPr>
        <w:rFonts w:ascii="Arial" w:hAnsi="Arial" w:hint="default"/>
      </w:rPr>
    </w:lvl>
    <w:lvl w:ilvl="1" w:tplc="B492D69C" w:tentative="1">
      <w:start w:val="1"/>
      <w:numFmt w:val="bullet"/>
      <w:lvlText w:val="•"/>
      <w:lvlJc w:val="left"/>
      <w:pPr>
        <w:tabs>
          <w:tab w:val="num" w:pos="1440"/>
        </w:tabs>
        <w:ind w:left="1440" w:hanging="360"/>
      </w:pPr>
      <w:rPr>
        <w:rFonts w:ascii="Arial" w:hAnsi="Arial" w:hint="default"/>
      </w:rPr>
    </w:lvl>
    <w:lvl w:ilvl="2" w:tplc="BE207DD8" w:tentative="1">
      <w:start w:val="1"/>
      <w:numFmt w:val="bullet"/>
      <w:lvlText w:val="•"/>
      <w:lvlJc w:val="left"/>
      <w:pPr>
        <w:tabs>
          <w:tab w:val="num" w:pos="2160"/>
        </w:tabs>
        <w:ind w:left="2160" w:hanging="360"/>
      </w:pPr>
      <w:rPr>
        <w:rFonts w:ascii="Arial" w:hAnsi="Arial" w:hint="default"/>
      </w:rPr>
    </w:lvl>
    <w:lvl w:ilvl="3" w:tplc="39B42C5E" w:tentative="1">
      <w:start w:val="1"/>
      <w:numFmt w:val="bullet"/>
      <w:lvlText w:val="•"/>
      <w:lvlJc w:val="left"/>
      <w:pPr>
        <w:tabs>
          <w:tab w:val="num" w:pos="2880"/>
        </w:tabs>
        <w:ind w:left="2880" w:hanging="360"/>
      </w:pPr>
      <w:rPr>
        <w:rFonts w:ascii="Arial" w:hAnsi="Arial" w:hint="default"/>
      </w:rPr>
    </w:lvl>
    <w:lvl w:ilvl="4" w:tplc="78F600A2" w:tentative="1">
      <w:start w:val="1"/>
      <w:numFmt w:val="bullet"/>
      <w:lvlText w:val="•"/>
      <w:lvlJc w:val="left"/>
      <w:pPr>
        <w:tabs>
          <w:tab w:val="num" w:pos="3600"/>
        </w:tabs>
        <w:ind w:left="3600" w:hanging="360"/>
      </w:pPr>
      <w:rPr>
        <w:rFonts w:ascii="Arial" w:hAnsi="Arial" w:hint="default"/>
      </w:rPr>
    </w:lvl>
    <w:lvl w:ilvl="5" w:tplc="A2A2B242" w:tentative="1">
      <w:start w:val="1"/>
      <w:numFmt w:val="bullet"/>
      <w:lvlText w:val="•"/>
      <w:lvlJc w:val="left"/>
      <w:pPr>
        <w:tabs>
          <w:tab w:val="num" w:pos="4320"/>
        </w:tabs>
        <w:ind w:left="4320" w:hanging="360"/>
      </w:pPr>
      <w:rPr>
        <w:rFonts w:ascii="Arial" w:hAnsi="Arial" w:hint="default"/>
      </w:rPr>
    </w:lvl>
    <w:lvl w:ilvl="6" w:tplc="20C8252A" w:tentative="1">
      <w:start w:val="1"/>
      <w:numFmt w:val="bullet"/>
      <w:lvlText w:val="•"/>
      <w:lvlJc w:val="left"/>
      <w:pPr>
        <w:tabs>
          <w:tab w:val="num" w:pos="5040"/>
        </w:tabs>
        <w:ind w:left="5040" w:hanging="360"/>
      </w:pPr>
      <w:rPr>
        <w:rFonts w:ascii="Arial" w:hAnsi="Arial" w:hint="default"/>
      </w:rPr>
    </w:lvl>
    <w:lvl w:ilvl="7" w:tplc="3626B260" w:tentative="1">
      <w:start w:val="1"/>
      <w:numFmt w:val="bullet"/>
      <w:lvlText w:val="•"/>
      <w:lvlJc w:val="left"/>
      <w:pPr>
        <w:tabs>
          <w:tab w:val="num" w:pos="5760"/>
        </w:tabs>
        <w:ind w:left="5760" w:hanging="360"/>
      </w:pPr>
      <w:rPr>
        <w:rFonts w:ascii="Arial" w:hAnsi="Arial" w:hint="default"/>
      </w:rPr>
    </w:lvl>
    <w:lvl w:ilvl="8" w:tplc="7E84F6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D10D8C"/>
    <w:multiLevelType w:val="hybridMultilevel"/>
    <w:tmpl w:val="C6702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8927066"/>
    <w:multiLevelType w:val="hybridMultilevel"/>
    <w:tmpl w:val="768EA792"/>
    <w:lvl w:ilvl="0" w:tplc="0ED69AD4">
      <w:start w:val="1"/>
      <w:numFmt w:val="bullet"/>
      <w:lvlText w:val="•"/>
      <w:lvlJc w:val="left"/>
      <w:pPr>
        <w:tabs>
          <w:tab w:val="num" w:pos="720"/>
        </w:tabs>
        <w:ind w:left="720" w:hanging="360"/>
      </w:pPr>
      <w:rPr>
        <w:rFonts w:ascii="Arial" w:hAnsi="Arial" w:hint="default"/>
      </w:rPr>
    </w:lvl>
    <w:lvl w:ilvl="1" w:tplc="4E8A6490" w:tentative="1">
      <w:start w:val="1"/>
      <w:numFmt w:val="bullet"/>
      <w:lvlText w:val="•"/>
      <w:lvlJc w:val="left"/>
      <w:pPr>
        <w:tabs>
          <w:tab w:val="num" w:pos="1440"/>
        </w:tabs>
        <w:ind w:left="1440" w:hanging="360"/>
      </w:pPr>
      <w:rPr>
        <w:rFonts w:ascii="Arial" w:hAnsi="Arial" w:hint="default"/>
      </w:rPr>
    </w:lvl>
    <w:lvl w:ilvl="2" w:tplc="87D2F6AE" w:tentative="1">
      <w:start w:val="1"/>
      <w:numFmt w:val="bullet"/>
      <w:lvlText w:val="•"/>
      <w:lvlJc w:val="left"/>
      <w:pPr>
        <w:tabs>
          <w:tab w:val="num" w:pos="2160"/>
        </w:tabs>
        <w:ind w:left="2160" w:hanging="360"/>
      </w:pPr>
      <w:rPr>
        <w:rFonts w:ascii="Arial" w:hAnsi="Arial" w:hint="default"/>
      </w:rPr>
    </w:lvl>
    <w:lvl w:ilvl="3" w:tplc="2C0C46DA" w:tentative="1">
      <w:start w:val="1"/>
      <w:numFmt w:val="bullet"/>
      <w:lvlText w:val="•"/>
      <w:lvlJc w:val="left"/>
      <w:pPr>
        <w:tabs>
          <w:tab w:val="num" w:pos="2880"/>
        </w:tabs>
        <w:ind w:left="2880" w:hanging="360"/>
      </w:pPr>
      <w:rPr>
        <w:rFonts w:ascii="Arial" w:hAnsi="Arial" w:hint="default"/>
      </w:rPr>
    </w:lvl>
    <w:lvl w:ilvl="4" w:tplc="84EA7B18" w:tentative="1">
      <w:start w:val="1"/>
      <w:numFmt w:val="bullet"/>
      <w:lvlText w:val="•"/>
      <w:lvlJc w:val="left"/>
      <w:pPr>
        <w:tabs>
          <w:tab w:val="num" w:pos="3600"/>
        </w:tabs>
        <w:ind w:left="3600" w:hanging="360"/>
      </w:pPr>
      <w:rPr>
        <w:rFonts w:ascii="Arial" w:hAnsi="Arial" w:hint="default"/>
      </w:rPr>
    </w:lvl>
    <w:lvl w:ilvl="5" w:tplc="BA9EEFBE" w:tentative="1">
      <w:start w:val="1"/>
      <w:numFmt w:val="bullet"/>
      <w:lvlText w:val="•"/>
      <w:lvlJc w:val="left"/>
      <w:pPr>
        <w:tabs>
          <w:tab w:val="num" w:pos="4320"/>
        </w:tabs>
        <w:ind w:left="4320" w:hanging="360"/>
      </w:pPr>
      <w:rPr>
        <w:rFonts w:ascii="Arial" w:hAnsi="Arial" w:hint="default"/>
      </w:rPr>
    </w:lvl>
    <w:lvl w:ilvl="6" w:tplc="D216257E" w:tentative="1">
      <w:start w:val="1"/>
      <w:numFmt w:val="bullet"/>
      <w:lvlText w:val="•"/>
      <w:lvlJc w:val="left"/>
      <w:pPr>
        <w:tabs>
          <w:tab w:val="num" w:pos="5040"/>
        </w:tabs>
        <w:ind w:left="5040" w:hanging="360"/>
      </w:pPr>
      <w:rPr>
        <w:rFonts w:ascii="Arial" w:hAnsi="Arial" w:hint="default"/>
      </w:rPr>
    </w:lvl>
    <w:lvl w:ilvl="7" w:tplc="BBE854D0" w:tentative="1">
      <w:start w:val="1"/>
      <w:numFmt w:val="bullet"/>
      <w:lvlText w:val="•"/>
      <w:lvlJc w:val="left"/>
      <w:pPr>
        <w:tabs>
          <w:tab w:val="num" w:pos="5760"/>
        </w:tabs>
        <w:ind w:left="5760" w:hanging="360"/>
      </w:pPr>
      <w:rPr>
        <w:rFonts w:ascii="Arial" w:hAnsi="Arial" w:hint="default"/>
      </w:rPr>
    </w:lvl>
    <w:lvl w:ilvl="8" w:tplc="3B90746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0CEB4583"/>
    <w:multiLevelType w:val="hybridMultilevel"/>
    <w:tmpl w:val="DC206450"/>
    <w:lvl w:ilvl="0" w:tplc="B20C0D8C">
      <w:start w:val="1"/>
      <w:numFmt w:val="bullet"/>
      <w:lvlText w:val=""/>
      <w:lvlJc w:val="left"/>
      <w:pPr>
        <w:tabs>
          <w:tab w:val="num" w:pos="720"/>
        </w:tabs>
        <w:ind w:left="720" w:hanging="360"/>
      </w:pPr>
      <w:rPr>
        <w:rFonts w:ascii="Symbol" w:hAnsi="Symbol" w:hint="default"/>
      </w:rPr>
    </w:lvl>
    <w:lvl w:ilvl="1" w:tplc="0BC27086">
      <w:numFmt w:val="bullet"/>
      <w:lvlText w:val="o"/>
      <w:lvlJc w:val="left"/>
      <w:pPr>
        <w:tabs>
          <w:tab w:val="num" w:pos="1440"/>
        </w:tabs>
        <w:ind w:left="1440" w:hanging="360"/>
      </w:pPr>
      <w:rPr>
        <w:rFonts w:ascii="Courier New" w:hAnsi="Courier New" w:hint="default"/>
      </w:rPr>
    </w:lvl>
    <w:lvl w:ilvl="2" w:tplc="3714654C" w:tentative="1">
      <w:start w:val="1"/>
      <w:numFmt w:val="bullet"/>
      <w:lvlText w:val=""/>
      <w:lvlJc w:val="left"/>
      <w:pPr>
        <w:tabs>
          <w:tab w:val="num" w:pos="2160"/>
        </w:tabs>
        <w:ind w:left="2160" w:hanging="360"/>
      </w:pPr>
      <w:rPr>
        <w:rFonts w:ascii="Symbol" w:hAnsi="Symbol" w:hint="default"/>
      </w:rPr>
    </w:lvl>
    <w:lvl w:ilvl="3" w:tplc="7FAA1A14" w:tentative="1">
      <w:start w:val="1"/>
      <w:numFmt w:val="bullet"/>
      <w:lvlText w:val=""/>
      <w:lvlJc w:val="left"/>
      <w:pPr>
        <w:tabs>
          <w:tab w:val="num" w:pos="2880"/>
        </w:tabs>
        <w:ind w:left="2880" w:hanging="360"/>
      </w:pPr>
      <w:rPr>
        <w:rFonts w:ascii="Symbol" w:hAnsi="Symbol" w:hint="default"/>
      </w:rPr>
    </w:lvl>
    <w:lvl w:ilvl="4" w:tplc="CAFE1C74" w:tentative="1">
      <w:start w:val="1"/>
      <w:numFmt w:val="bullet"/>
      <w:lvlText w:val=""/>
      <w:lvlJc w:val="left"/>
      <w:pPr>
        <w:tabs>
          <w:tab w:val="num" w:pos="3600"/>
        </w:tabs>
        <w:ind w:left="3600" w:hanging="360"/>
      </w:pPr>
      <w:rPr>
        <w:rFonts w:ascii="Symbol" w:hAnsi="Symbol" w:hint="default"/>
      </w:rPr>
    </w:lvl>
    <w:lvl w:ilvl="5" w:tplc="E7C061A4" w:tentative="1">
      <w:start w:val="1"/>
      <w:numFmt w:val="bullet"/>
      <w:lvlText w:val=""/>
      <w:lvlJc w:val="left"/>
      <w:pPr>
        <w:tabs>
          <w:tab w:val="num" w:pos="4320"/>
        </w:tabs>
        <w:ind w:left="4320" w:hanging="360"/>
      </w:pPr>
      <w:rPr>
        <w:rFonts w:ascii="Symbol" w:hAnsi="Symbol" w:hint="default"/>
      </w:rPr>
    </w:lvl>
    <w:lvl w:ilvl="6" w:tplc="4FB425C0" w:tentative="1">
      <w:start w:val="1"/>
      <w:numFmt w:val="bullet"/>
      <w:lvlText w:val=""/>
      <w:lvlJc w:val="left"/>
      <w:pPr>
        <w:tabs>
          <w:tab w:val="num" w:pos="5040"/>
        </w:tabs>
        <w:ind w:left="5040" w:hanging="360"/>
      </w:pPr>
      <w:rPr>
        <w:rFonts w:ascii="Symbol" w:hAnsi="Symbol" w:hint="default"/>
      </w:rPr>
    </w:lvl>
    <w:lvl w:ilvl="7" w:tplc="A4340050" w:tentative="1">
      <w:start w:val="1"/>
      <w:numFmt w:val="bullet"/>
      <w:lvlText w:val=""/>
      <w:lvlJc w:val="left"/>
      <w:pPr>
        <w:tabs>
          <w:tab w:val="num" w:pos="5760"/>
        </w:tabs>
        <w:ind w:left="5760" w:hanging="360"/>
      </w:pPr>
      <w:rPr>
        <w:rFonts w:ascii="Symbol" w:hAnsi="Symbol" w:hint="default"/>
      </w:rPr>
    </w:lvl>
    <w:lvl w:ilvl="8" w:tplc="6E5E9B1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17D1407"/>
    <w:multiLevelType w:val="multilevel"/>
    <w:tmpl w:val="718D7D2E"/>
    <w:lvl w:ilvl="0">
      <w:start w:val="1"/>
      <w:numFmt w:val="decimal"/>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50772BC"/>
    <w:multiLevelType w:val="hybridMultilevel"/>
    <w:tmpl w:val="7298C60C"/>
    <w:lvl w:ilvl="0" w:tplc="E3302644">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D40CFD"/>
    <w:multiLevelType w:val="hybridMultilevel"/>
    <w:tmpl w:val="E34A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6C4907"/>
    <w:multiLevelType w:val="hybridMultilevel"/>
    <w:tmpl w:val="4D24CF1A"/>
    <w:lvl w:ilvl="0" w:tplc="040C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15:restartNumberingAfterBreak="0">
    <w:nsid w:val="1A461379"/>
    <w:multiLevelType w:val="hybridMultilevel"/>
    <w:tmpl w:val="8982BB3C"/>
    <w:lvl w:ilvl="0" w:tplc="A2EE16EE">
      <w:start w:val="1"/>
      <w:numFmt w:val="bullet"/>
      <w:lvlText w:val="•"/>
      <w:lvlJc w:val="left"/>
      <w:pPr>
        <w:tabs>
          <w:tab w:val="num" w:pos="720"/>
        </w:tabs>
        <w:ind w:left="720" w:hanging="360"/>
      </w:pPr>
      <w:rPr>
        <w:rFonts w:ascii="Arial" w:hAnsi="Arial" w:hint="default"/>
      </w:rPr>
    </w:lvl>
    <w:lvl w:ilvl="1" w:tplc="F57AD800" w:tentative="1">
      <w:start w:val="1"/>
      <w:numFmt w:val="bullet"/>
      <w:lvlText w:val="•"/>
      <w:lvlJc w:val="left"/>
      <w:pPr>
        <w:tabs>
          <w:tab w:val="num" w:pos="1440"/>
        </w:tabs>
        <w:ind w:left="1440" w:hanging="360"/>
      </w:pPr>
      <w:rPr>
        <w:rFonts w:ascii="Arial" w:hAnsi="Arial" w:hint="default"/>
      </w:rPr>
    </w:lvl>
    <w:lvl w:ilvl="2" w:tplc="19948158" w:tentative="1">
      <w:start w:val="1"/>
      <w:numFmt w:val="bullet"/>
      <w:lvlText w:val="•"/>
      <w:lvlJc w:val="left"/>
      <w:pPr>
        <w:tabs>
          <w:tab w:val="num" w:pos="2160"/>
        </w:tabs>
        <w:ind w:left="2160" w:hanging="360"/>
      </w:pPr>
      <w:rPr>
        <w:rFonts w:ascii="Arial" w:hAnsi="Arial" w:hint="default"/>
      </w:rPr>
    </w:lvl>
    <w:lvl w:ilvl="3" w:tplc="754EB648" w:tentative="1">
      <w:start w:val="1"/>
      <w:numFmt w:val="bullet"/>
      <w:lvlText w:val="•"/>
      <w:lvlJc w:val="left"/>
      <w:pPr>
        <w:tabs>
          <w:tab w:val="num" w:pos="2880"/>
        </w:tabs>
        <w:ind w:left="2880" w:hanging="360"/>
      </w:pPr>
      <w:rPr>
        <w:rFonts w:ascii="Arial" w:hAnsi="Arial" w:hint="default"/>
      </w:rPr>
    </w:lvl>
    <w:lvl w:ilvl="4" w:tplc="9642F1B8" w:tentative="1">
      <w:start w:val="1"/>
      <w:numFmt w:val="bullet"/>
      <w:lvlText w:val="•"/>
      <w:lvlJc w:val="left"/>
      <w:pPr>
        <w:tabs>
          <w:tab w:val="num" w:pos="3600"/>
        </w:tabs>
        <w:ind w:left="3600" w:hanging="360"/>
      </w:pPr>
      <w:rPr>
        <w:rFonts w:ascii="Arial" w:hAnsi="Arial" w:hint="default"/>
      </w:rPr>
    </w:lvl>
    <w:lvl w:ilvl="5" w:tplc="EA4018B8" w:tentative="1">
      <w:start w:val="1"/>
      <w:numFmt w:val="bullet"/>
      <w:lvlText w:val="•"/>
      <w:lvlJc w:val="left"/>
      <w:pPr>
        <w:tabs>
          <w:tab w:val="num" w:pos="4320"/>
        </w:tabs>
        <w:ind w:left="4320" w:hanging="360"/>
      </w:pPr>
      <w:rPr>
        <w:rFonts w:ascii="Arial" w:hAnsi="Arial" w:hint="default"/>
      </w:rPr>
    </w:lvl>
    <w:lvl w:ilvl="6" w:tplc="BBE24D40" w:tentative="1">
      <w:start w:val="1"/>
      <w:numFmt w:val="bullet"/>
      <w:lvlText w:val="•"/>
      <w:lvlJc w:val="left"/>
      <w:pPr>
        <w:tabs>
          <w:tab w:val="num" w:pos="5040"/>
        </w:tabs>
        <w:ind w:left="5040" w:hanging="360"/>
      </w:pPr>
      <w:rPr>
        <w:rFonts w:ascii="Arial" w:hAnsi="Arial" w:hint="default"/>
      </w:rPr>
    </w:lvl>
    <w:lvl w:ilvl="7" w:tplc="1604F100" w:tentative="1">
      <w:start w:val="1"/>
      <w:numFmt w:val="bullet"/>
      <w:lvlText w:val="•"/>
      <w:lvlJc w:val="left"/>
      <w:pPr>
        <w:tabs>
          <w:tab w:val="num" w:pos="5760"/>
        </w:tabs>
        <w:ind w:left="5760" w:hanging="360"/>
      </w:pPr>
      <w:rPr>
        <w:rFonts w:ascii="Arial" w:hAnsi="Arial" w:hint="default"/>
      </w:rPr>
    </w:lvl>
    <w:lvl w:ilvl="8" w:tplc="3D2C15D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A671A60"/>
    <w:multiLevelType w:val="hybridMultilevel"/>
    <w:tmpl w:val="F0AC83FC"/>
    <w:lvl w:ilvl="0" w:tplc="D03ADE94">
      <w:start w:val="1"/>
      <w:numFmt w:val="bullet"/>
      <w:lvlText w:val="•"/>
      <w:lvlJc w:val="left"/>
      <w:pPr>
        <w:tabs>
          <w:tab w:val="num" w:pos="720"/>
        </w:tabs>
        <w:ind w:left="720" w:hanging="360"/>
      </w:pPr>
      <w:rPr>
        <w:rFonts w:ascii="Arial" w:hAnsi="Arial" w:hint="default"/>
      </w:rPr>
    </w:lvl>
    <w:lvl w:ilvl="1" w:tplc="61127284" w:tentative="1">
      <w:start w:val="1"/>
      <w:numFmt w:val="bullet"/>
      <w:lvlText w:val="•"/>
      <w:lvlJc w:val="left"/>
      <w:pPr>
        <w:tabs>
          <w:tab w:val="num" w:pos="1440"/>
        </w:tabs>
        <w:ind w:left="1440" w:hanging="360"/>
      </w:pPr>
      <w:rPr>
        <w:rFonts w:ascii="Arial" w:hAnsi="Arial" w:hint="default"/>
      </w:rPr>
    </w:lvl>
    <w:lvl w:ilvl="2" w:tplc="BA723AC2" w:tentative="1">
      <w:start w:val="1"/>
      <w:numFmt w:val="bullet"/>
      <w:lvlText w:val="•"/>
      <w:lvlJc w:val="left"/>
      <w:pPr>
        <w:tabs>
          <w:tab w:val="num" w:pos="2160"/>
        </w:tabs>
        <w:ind w:left="2160" w:hanging="360"/>
      </w:pPr>
      <w:rPr>
        <w:rFonts w:ascii="Arial" w:hAnsi="Arial" w:hint="default"/>
      </w:rPr>
    </w:lvl>
    <w:lvl w:ilvl="3" w:tplc="AAA4DCD0" w:tentative="1">
      <w:start w:val="1"/>
      <w:numFmt w:val="bullet"/>
      <w:lvlText w:val="•"/>
      <w:lvlJc w:val="left"/>
      <w:pPr>
        <w:tabs>
          <w:tab w:val="num" w:pos="2880"/>
        </w:tabs>
        <w:ind w:left="2880" w:hanging="360"/>
      </w:pPr>
      <w:rPr>
        <w:rFonts w:ascii="Arial" w:hAnsi="Arial" w:hint="default"/>
      </w:rPr>
    </w:lvl>
    <w:lvl w:ilvl="4" w:tplc="BA086B4A" w:tentative="1">
      <w:start w:val="1"/>
      <w:numFmt w:val="bullet"/>
      <w:lvlText w:val="•"/>
      <w:lvlJc w:val="left"/>
      <w:pPr>
        <w:tabs>
          <w:tab w:val="num" w:pos="3600"/>
        </w:tabs>
        <w:ind w:left="3600" w:hanging="360"/>
      </w:pPr>
      <w:rPr>
        <w:rFonts w:ascii="Arial" w:hAnsi="Arial" w:hint="default"/>
      </w:rPr>
    </w:lvl>
    <w:lvl w:ilvl="5" w:tplc="869463F6" w:tentative="1">
      <w:start w:val="1"/>
      <w:numFmt w:val="bullet"/>
      <w:lvlText w:val="•"/>
      <w:lvlJc w:val="left"/>
      <w:pPr>
        <w:tabs>
          <w:tab w:val="num" w:pos="4320"/>
        </w:tabs>
        <w:ind w:left="4320" w:hanging="360"/>
      </w:pPr>
      <w:rPr>
        <w:rFonts w:ascii="Arial" w:hAnsi="Arial" w:hint="default"/>
      </w:rPr>
    </w:lvl>
    <w:lvl w:ilvl="6" w:tplc="6A50FDE2" w:tentative="1">
      <w:start w:val="1"/>
      <w:numFmt w:val="bullet"/>
      <w:lvlText w:val="•"/>
      <w:lvlJc w:val="left"/>
      <w:pPr>
        <w:tabs>
          <w:tab w:val="num" w:pos="5040"/>
        </w:tabs>
        <w:ind w:left="5040" w:hanging="360"/>
      </w:pPr>
      <w:rPr>
        <w:rFonts w:ascii="Arial" w:hAnsi="Arial" w:hint="default"/>
      </w:rPr>
    </w:lvl>
    <w:lvl w:ilvl="7" w:tplc="641CF48A" w:tentative="1">
      <w:start w:val="1"/>
      <w:numFmt w:val="bullet"/>
      <w:lvlText w:val="•"/>
      <w:lvlJc w:val="left"/>
      <w:pPr>
        <w:tabs>
          <w:tab w:val="num" w:pos="5760"/>
        </w:tabs>
        <w:ind w:left="5760" w:hanging="360"/>
      </w:pPr>
      <w:rPr>
        <w:rFonts w:ascii="Arial" w:hAnsi="Arial" w:hint="default"/>
      </w:rPr>
    </w:lvl>
    <w:lvl w:ilvl="8" w:tplc="E166AE5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AB70A22"/>
    <w:multiLevelType w:val="hybridMultilevel"/>
    <w:tmpl w:val="BB763E10"/>
    <w:lvl w:ilvl="0" w:tplc="7A743566">
      <w:start w:val="1"/>
      <w:numFmt w:val="bullet"/>
      <w:lvlText w:val=""/>
      <w:lvlJc w:val="left"/>
      <w:pPr>
        <w:tabs>
          <w:tab w:val="num" w:pos="720"/>
        </w:tabs>
        <w:ind w:left="720" w:hanging="360"/>
      </w:pPr>
      <w:rPr>
        <w:rFonts w:ascii="Symbol" w:hAnsi="Symbol" w:hint="default"/>
      </w:rPr>
    </w:lvl>
    <w:lvl w:ilvl="1" w:tplc="F72CF66A" w:tentative="1">
      <w:start w:val="1"/>
      <w:numFmt w:val="bullet"/>
      <w:lvlText w:val=""/>
      <w:lvlJc w:val="left"/>
      <w:pPr>
        <w:tabs>
          <w:tab w:val="num" w:pos="1440"/>
        </w:tabs>
        <w:ind w:left="1440" w:hanging="360"/>
      </w:pPr>
      <w:rPr>
        <w:rFonts w:ascii="Symbol" w:hAnsi="Symbol" w:hint="default"/>
      </w:rPr>
    </w:lvl>
    <w:lvl w:ilvl="2" w:tplc="0BC60B86" w:tentative="1">
      <w:start w:val="1"/>
      <w:numFmt w:val="bullet"/>
      <w:lvlText w:val=""/>
      <w:lvlJc w:val="left"/>
      <w:pPr>
        <w:tabs>
          <w:tab w:val="num" w:pos="2160"/>
        </w:tabs>
        <w:ind w:left="2160" w:hanging="360"/>
      </w:pPr>
      <w:rPr>
        <w:rFonts w:ascii="Symbol" w:hAnsi="Symbol" w:hint="default"/>
      </w:rPr>
    </w:lvl>
    <w:lvl w:ilvl="3" w:tplc="5B52DDE2" w:tentative="1">
      <w:start w:val="1"/>
      <w:numFmt w:val="bullet"/>
      <w:lvlText w:val=""/>
      <w:lvlJc w:val="left"/>
      <w:pPr>
        <w:tabs>
          <w:tab w:val="num" w:pos="2880"/>
        </w:tabs>
        <w:ind w:left="2880" w:hanging="360"/>
      </w:pPr>
      <w:rPr>
        <w:rFonts w:ascii="Symbol" w:hAnsi="Symbol" w:hint="default"/>
      </w:rPr>
    </w:lvl>
    <w:lvl w:ilvl="4" w:tplc="B1B05040" w:tentative="1">
      <w:start w:val="1"/>
      <w:numFmt w:val="bullet"/>
      <w:lvlText w:val=""/>
      <w:lvlJc w:val="left"/>
      <w:pPr>
        <w:tabs>
          <w:tab w:val="num" w:pos="3600"/>
        </w:tabs>
        <w:ind w:left="3600" w:hanging="360"/>
      </w:pPr>
      <w:rPr>
        <w:rFonts w:ascii="Symbol" w:hAnsi="Symbol" w:hint="default"/>
      </w:rPr>
    </w:lvl>
    <w:lvl w:ilvl="5" w:tplc="3318A230" w:tentative="1">
      <w:start w:val="1"/>
      <w:numFmt w:val="bullet"/>
      <w:lvlText w:val=""/>
      <w:lvlJc w:val="left"/>
      <w:pPr>
        <w:tabs>
          <w:tab w:val="num" w:pos="4320"/>
        </w:tabs>
        <w:ind w:left="4320" w:hanging="360"/>
      </w:pPr>
      <w:rPr>
        <w:rFonts w:ascii="Symbol" w:hAnsi="Symbol" w:hint="default"/>
      </w:rPr>
    </w:lvl>
    <w:lvl w:ilvl="6" w:tplc="78E086E4" w:tentative="1">
      <w:start w:val="1"/>
      <w:numFmt w:val="bullet"/>
      <w:lvlText w:val=""/>
      <w:lvlJc w:val="left"/>
      <w:pPr>
        <w:tabs>
          <w:tab w:val="num" w:pos="5040"/>
        </w:tabs>
        <w:ind w:left="5040" w:hanging="360"/>
      </w:pPr>
      <w:rPr>
        <w:rFonts w:ascii="Symbol" w:hAnsi="Symbol" w:hint="default"/>
      </w:rPr>
    </w:lvl>
    <w:lvl w:ilvl="7" w:tplc="522847D4" w:tentative="1">
      <w:start w:val="1"/>
      <w:numFmt w:val="bullet"/>
      <w:lvlText w:val=""/>
      <w:lvlJc w:val="left"/>
      <w:pPr>
        <w:tabs>
          <w:tab w:val="num" w:pos="5760"/>
        </w:tabs>
        <w:ind w:left="5760" w:hanging="360"/>
      </w:pPr>
      <w:rPr>
        <w:rFonts w:ascii="Symbol" w:hAnsi="Symbol" w:hint="default"/>
      </w:rPr>
    </w:lvl>
    <w:lvl w:ilvl="8" w:tplc="0B48224E"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E3A4738"/>
    <w:multiLevelType w:val="hybridMultilevel"/>
    <w:tmpl w:val="F9C0D00C"/>
    <w:lvl w:ilvl="0" w:tplc="E3B06F76">
      <w:start w:val="1"/>
      <w:numFmt w:val="bullet"/>
      <w:lvlText w:val="•"/>
      <w:lvlJc w:val="left"/>
      <w:pPr>
        <w:tabs>
          <w:tab w:val="num" w:pos="720"/>
        </w:tabs>
        <w:ind w:left="720" w:hanging="360"/>
      </w:pPr>
      <w:rPr>
        <w:rFonts w:ascii="Arial" w:hAnsi="Arial" w:hint="default"/>
      </w:rPr>
    </w:lvl>
    <w:lvl w:ilvl="1" w:tplc="5C72E3E0" w:tentative="1">
      <w:start w:val="1"/>
      <w:numFmt w:val="bullet"/>
      <w:lvlText w:val="•"/>
      <w:lvlJc w:val="left"/>
      <w:pPr>
        <w:tabs>
          <w:tab w:val="num" w:pos="1440"/>
        </w:tabs>
        <w:ind w:left="1440" w:hanging="360"/>
      </w:pPr>
      <w:rPr>
        <w:rFonts w:ascii="Arial" w:hAnsi="Arial" w:hint="default"/>
      </w:rPr>
    </w:lvl>
    <w:lvl w:ilvl="2" w:tplc="86CCE256" w:tentative="1">
      <w:start w:val="1"/>
      <w:numFmt w:val="bullet"/>
      <w:lvlText w:val="•"/>
      <w:lvlJc w:val="left"/>
      <w:pPr>
        <w:tabs>
          <w:tab w:val="num" w:pos="2160"/>
        </w:tabs>
        <w:ind w:left="2160" w:hanging="360"/>
      </w:pPr>
      <w:rPr>
        <w:rFonts w:ascii="Arial" w:hAnsi="Arial" w:hint="default"/>
      </w:rPr>
    </w:lvl>
    <w:lvl w:ilvl="3" w:tplc="9E2435BE" w:tentative="1">
      <w:start w:val="1"/>
      <w:numFmt w:val="bullet"/>
      <w:lvlText w:val="•"/>
      <w:lvlJc w:val="left"/>
      <w:pPr>
        <w:tabs>
          <w:tab w:val="num" w:pos="2880"/>
        </w:tabs>
        <w:ind w:left="2880" w:hanging="360"/>
      </w:pPr>
      <w:rPr>
        <w:rFonts w:ascii="Arial" w:hAnsi="Arial" w:hint="default"/>
      </w:rPr>
    </w:lvl>
    <w:lvl w:ilvl="4" w:tplc="38F69020" w:tentative="1">
      <w:start w:val="1"/>
      <w:numFmt w:val="bullet"/>
      <w:lvlText w:val="•"/>
      <w:lvlJc w:val="left"/>
      <w:pPr>
        <w:tabs>
          <w:tab w:val="num" w:pos="3600"/>
        </w:tabs>
        <w:ind w:left="3600" w:hanging="360"/>
      </w:pPr>
      <w:rPr>
        <w:rFonts w:ascii="Arial" w:hAnsi="Arial" w:hint="default"/>
      </w:rPr>
    </w:lvl>
    <w:lvl w:ilvl="5" w:tplc="9B48B5E8" w:tentative="1">
      <w:start w:val="1"/>
      <w:numFmt w:val="bullet"/>
      <w:lvlText w:val="•"/>
      <w:lvlJc w:val="left"/>
      <w:pPr>
        <w:tabs>
          <w:tab w:val="num" w:pos="4320"/>
        </w:tabs>
        <w:ind w:left="4320" w:hanging="360"/>
      </w:pPr>
      <w:rPr>
        <w:rFonts w:ascii="Arial" w:hAnsi="Arial" w:hint="default"/>
      </w:rPr>
    </w:lvl>
    <w:lvl w:ilvl="6" w:tplc="294CBB24" w:tentative="1">
      <w:start w:val="1"/>
      <w:numFmt w:val="bullet"/>
      <w:lvlText w:val="•"/>
      <w:lvlJc w:val="left"/>
      <w:pPr>
        <w:tabs>
          <w:tab w:val="num" w:pos="5040"/>
        </w:tabs>
        <w:ind w:left="5040" w:hanging="360"/>
      </w:pPr>
      <w:rPr>
        <w:rFonts w:ascii="Arial" w:hAnsi="Arial" w:hint="default"/>
      </w:rPr>
    </w:lvl>
    <w:lvl w:ilvl="7" w:tplc="F1C46BDC" w:tentative="1">
      <w:start w:val="1"/>
      <w:numFmt w:val="bullet"/>
      <w:lvlText w:val="•"/>
      <w:lvlJc w:val="left"/>
      <w:pPr>
        <w:tabs>
          <w:tab w:val="num" w:pos="5760"/>
        </w:tabs>
        <w:ind w:left="5760" w:hanging="360"/>
      </w:pPr>
      <w:rPr>
        <w:rFonts w:ascii="Arial" w:hAnsi="Arial" w:hint="default"/>
      </w:rPr>
    </w:lvl>
    <w:lvl w:ilvl="8" w:tplc="4F18C56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0534AA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27996568"/>
    <w:multiLevelType w:val="hybridMultilevel"/>
    <w:tmpl w:val="2856C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5F075C"/>
    <w:multiLevelType w:val="hybridMultilevel"/>
    <w:tmpl w:val="2ECEF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17514C7"/>
    <w:multiLevelType w:val="hybridMultilevel"/>
    <w:tmpl w:val="B5504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2C85F8C"/>
    <w:multiLevelType w:val="hybridMultilevel"/>
    <w:tmpl w:val="A97C6992"/>
    <w:lvl w:ilvl="0" w:tplc="62908F36">
      <w:start w:val="1"/>
      <w:numFmt w:val="bullet"/>
      <w:lvlText w:val=""/>
      <w:lvlJc w:val="left"/>
      <w:pPr>
        <w:tabs>
          <w:tab w:val="num" w:pos="720"/>
        </w:tabs>
        <w:ind w:left="720" w:hanging="360"/>
      </w:pPr>
      <w:rPr>
        <w:rFonts w:ascii="Wingdings" w:hAnsi="Wingdings" w:hint="default"/>
      </w:rPr>
    </w:lvl>
    <w:lvl w:ilvl="1" w:tplc="9D2AE306" w:tentative="1">
      <w:start w:val="1"/>
      <w:numFmt w:val="bullet"/>
      <w:lvlText w:val=""/>
      <w:lvlJc w:val="left"/>
      <w:pPr>
        <w:tabs>
          <w:tab w:val="num" w:pos="1440"/>
        </w:tabs>
        <w:ind w:left="1440" w:hanging="360"/>
      </w:pPr>
      <w:rPr>
        <w:rFonts w:ascii="Wingdings" w:hAnsi="Wingdings" w:hint="default"/>
      </w:rPr>
    </w:lvl>
    <w:lvl w:ilvl="2" w:tplc="1310BFB4" w:tentative="1">
      <w:start w:val="1"/>
      <w:numFmt w:val="bullet"/>
      <w:lvlText w:val=""/>
      <w:lvlJc w:val="left"/>
      <w:pPr>
        <w:tabs>
          <w:tab w:val="num" w:pos="2160"/>
        </w:tabs>
        <w:ind w:left="2160" w:hanging="360"/>
      </w:pPr>
      <w:rPr>
        <w:rFonts w:ascii="Wingdings" w:hAnsi="Wingdings" w:hint="default"/>
      </w:rPr>
    </w:lvl>
    <w:lvl w:ilvl="3" w:tplc="FB4C2B56" w:tentative="1">
      <w:start w:val="1"/>
      <w:numFmt w:val="bullet"/>
      <w:lvlText w:val=""/>
      <w:lvlJc w:val="left"/>
      <w:pPr>
        <w:tabs>
          <w:tab w:val="num" w:pos="2880"/>
        </w:tabs>
        <w:ind w:left="2880" w:hanging="360"/>
      </w:pPr>
      <w:rPr>
        <w:rFonts w:ascii="Wingdings" w:hAnsi="Wingdings" w:hint="default"/>
      </w:rPr>
    </w:lvl>
    <w:lvl w:ilvl="4" w:tplc="F51A6BAC" w:tentative="1">
      <w:start w:val="1"/>
      <w:numFmt w:val="bullet"/>
      <w:lvlText w:val=""/>
      <w:lvlJc w:val="left"/>
      <w:pPr>
        <w:tabs>
          <w:tab w:val="num" w:pos="3600"/>
        </w:tabs>
        <w:ind w:left="3600" w:hanging="360"/>
      </w:pPr>
      <w:rPr>
        <w:rFonts w:ascii="Wingdings" w:hAnsi="Wingdings" w:hint="default"/>
      </w:rPr>
    </w:lvl>
    <w:lvl w:ilvl="5" w:tplc="29A05690" w:tentative="1">
      <w:start w:val="1"/>
      <w:numFmt w:val="bullet"/>
      <w:lvlText w:val=""/>
      <w:lvlJc w:val="left"/>
      <w:pPr>
        <w:tabs>
          <w:tab w:val="num" w:pos="4320"/>
        </w:tabs>
        <w:ind w:left="4320" w:hanging="360"/>
      </w:pPr>
      <w:rPr>
        <w:rFonts w:ascii="Wingdings" w:hAnsi="Wingdings" w:hint="default"/>
      </w:rPr>
    </w:lvl>
    <w:lvl w:ilvl="6" w:tplc="629EB3F4" w:tentative="1">
      <w:start w:val="1"/>
      <w:numFmt w:val="bullet"/>
      <w:lvlText w:val=""/>
      <w:lvlJc w:val="left"/>
      <w:pPr>
        <w:tabs>
          <w:tab w:val="num" w:pos="5040"/>
        </w:tabs>
        <w:ind w:left="5040" w:hanging="360"/>
      </w:pPr>
      <w:rPr>
        <w:rFonts w:ascii="Wingdings" w:hAnsi="Wingdings" w:hint="default"/>
      </w:rPr>
    </w:lvl>
    <w:lvl w:ilvl="7" w:tplc="0ACED7AE" w:tentative="1">
      <w:start w:val="1"/>
      <w:numFmt w:val="bullet"/>
      <w:lvlText w:val=""/>
      <w:lvlJc w:val="left"/>
      <w:pPr>
        <w:tabs>
          <w:tab w:val="num" w:pos="5760"/>
        </w:tabs>
        <w:ind w:left="5760" w:hanging="360"/>
      </w:pPr>
      <w:rPr>
        <w:rFonts w:ascii="Wingdings" w:hAnsi="Wingdings" w:hint="default"/>
      </w:rPr>
    </w:lvl>
    <w:lvl w:ilvl="8" w:tplc="B0C887F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DE086D"/>
    <w:multiLevelType w:val="hybridMultilevel"/>
    <w:tmpl w:val="8B7449D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91400D4"/>
    <w:multiLevelType w:val="hybridMultilevel"/>
    <w:tmpl w:val="CD04CB88"/>
    <w:lvl w:ilvl="0" w:tplc="A33CA40E">
      <w:start w:val="1"/>
      <w:numFmt w:val="bullet"/>
      <w:lvlText w:val=""/>
      <w:lvlJc w:val="left"/>
      <w:pPr>
        <w:tabs>
          <w:tab w:val="num" w:pos="720"/>
        </w:tabs>
        <w:ind w:left="720" w:hanging="360"/>
      </w:pPr>
      <w:rPr>
        <w:rFonts w:ascii="Symbol" w:hAnsi="Symbol" w:hint="default"/>
      </w:rPr>
    </w:lvl>
    <w:lvl w:ilvl="1" w:tplc="529478B0">
      <w:numFmt w:val="bullet"/>
      <w:lvlText w:val="o"/>
      <w:lvlJc w:val="left"/>
      <w:pPr>
        <w:tabs>
          <w:tab w:val="num" w:pos="1440"/>
        </w:tabs>
        <w:ind w:left="1440" w:hanging="360"/>
      </w:pPr>
      <w:rPr>
        <w:rFonts w:ascii="Courier New" w:hAnsi="Courier New" w:hint="default"/>
      </w:rPr>
    </w:lvl>
    <w:lvl w:ilvl="2" w:tplc="5944F7E2" w:tentative="1">
      <w:start w:val="1"/>
      <w:numFmt w:val="bullet"/>
      <w:lvlText w:val=""/>
      <w:lvlJc w:val="left"/>
      <w:pPr>
        <w:tabs>
          <w:tab w:val="num" w:pos="2160"/>
        </w:tabs>
        <w:ind w:left="2160" w:hanging="360"/>
      </w:pPr>
      <w:rPr>
        <w:rFonts w:ascii="Symbol" w:hAnsi="Symbol" w:hint="default"/>
      </w:rPr>
    </w:lvl>
    <w:lvl w:ilvl="3" w:tplc="651EB958" w:tentative="1">
      <w:start w:val="1"/>
      <w:numFmt w:val="bullet"/>
      <w:lvlText w:val=""/>
      <w:lvlJc w:val="left"/>
      <w:pPr>
        <w:tabs>
          <w:tab w:val="num" w:pos="2880"/>
        </w:tabs>
        <w:ind w:left="2880" w:hanging="360"/>
      </w:pPr>
      <w:rPr>
        <w:rFonts w:ascii="Symbol" w:hAnsi="Symbol" w:hint="default"/>
      </w:rPr>
    </w:lvl>
    <w:lvl w:ilvl="4" w:tplc="E6EC9404" w:tentative="1">
      <w:start w:val="1"/>
      <w:numFmt w:val="bullet"/>
      <w:lvlText w:val=""/>
      <w:lvlJc w:val="left"/>
      <w:pPr>
        <w:tabs>
          <w:tab w:val="num" w:pos="3600"/>
        </w:tabs>
        <w:ind w:left="3600" w:hanging="360"/>
      </w:pPr>
      <w:rPr>
        <w:rFonts w:ascii="Symbol" w:hAnsi="Symbol" w:hint="default"/>
      </w:rPr>
    </w:lvl>
    <w:lvl w:ilvl="5" w:tplc="0526FCE2" w:tentative="1">
      <w:start w:val="1"/>
      <w:numFmt w:val="bullet"/>
      <w:lvlText w:val=""/>
      <w:lvlJc w:val="left"/>
      <w:pPr>
        <w:tabs>
          <w:tab w:val="num" w:pos="4320"/>
        </w:tabs>
        <w:ind w:left="4320" w:hanging="360"/>
      </w:pPr>
      <w:rPr>
        <w:rFonts w:ascii="Symbol" w:hAnsi="Symbol" w:hint="default"/>
      </w:rPr>
    </w:lvl>
    <w:lvl w:ilvl="6" w:tplc="2F06738A" w:tentative="1">
      <w:start w:val="1"/>
      <w:numFmt w:val="bullet"/>
      <w:lvlText w:val=""/>
      <w:lvlJc w:val="left"/>
      <w:pPr>
        <w:tabs>
          <w:tab w:val="num" w:pos="5040"/>
        </w:tabs>
        <w:ind w:left="5040" w:hanging="360"/>
      </w:pPr>
      <w:rPr>
        <w:rFonts w:ascii="Symbol" w:hAnsi="Symbol" w:hint="default"/>
      </w:rPr>
    </w:lvl>
    <w:lvl w:ilvl="7" w:tplc="E4866F90" w:tentative="1">
      <w:start w:val="1"/>
      <w:numFmt w:val="bullet"/>
      <w:lvlText w:val=""/>
      <w:lvlJc w:val="left"/>
      <w:pPr>
        <w:tabs>
          <w:tab w:val="num" w:pos="5760"/>
        </w:tabs>
        <w:ind w:left="5760" w:hanging="360"/>
      </w:pPr>
      <w:rPr>
        <w:rFonts w:ascii="Symbol" w:hAnsi="Symbol" w:hint="default"/>
      </w:rPr>
    </w:lvl>
    <w:lvl w:ilvl="8" w:tplc="3FB43CB4"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3CF719EF"/>
    <w:multiLevelType w:val="hybridMultilevel"/>
    <w:tmpl w:val="4ABA2FCE"/>
    <w:lvl w:ilvl="0" w:tplc="E3302644">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40088E"/>
    <w:multiLevelType w:val="hybridMultilevel"/>
    <w:tmpl w:val="C624EA76"/>
    <w:lvl w:ilvl="0" w:tplc="694878B2">
      <w:start w:val="1"/>
      <w:numFmt w:val="bullet"/>
      <w:lvlText w:val="•"/>
      <w:lvlJc w:val="left"/>
      <w:pPr>
        <w:tabs>
          <w:tab w:val="num" w:pos="720"/>
        </w:tabs>
        <w:ind w:left="720" w:hanging="360"/>
      </w:pPr>
      <w:rPr>
        <w:rFonts w:ascii="Arial" w:hAnsi="Arial" w:hint="default"/>
      </w:rPr>
    </w:lvl>
    <w:lvl w:ilvl="1" w:tplc="DB62FF80" w:tentative="1">
      <w:start w:val="1"/>
      <w:numFmt w:val="bullet"/>
      <w:lvlText w:val="•"/>
      <w:lvlJc w:val="left"/>
      <w:pPr>
        <w:tabs>
          <w:tab w:val="num" w:pos="1440"/>
        </w:tabs>
        <w:ind w:left="1440" w:hanging="360"/>
      </w:pPr>
      <w:rPr>
        <w:rFonts w:ascii="Arial" w:hAnsi="Arial" w:hint="default"/>
      </w:rPr>
    </w:lvl>
    <w:lvl w:ilvl="2" w:tplc="8C6CA852" w:tentative="1">
      <w:start w:val="1"/>
      <w:numFmt w:val="bullet"/>
      <w:lvlText w:val="•"/>
      <w:lvlJc w:val="left"/>
      <w:pPr>
        <w:tabs>
          <w:tab w:val="num" w:pos="2160"/>
        </w:tabs>
        <w:ind w:left="2160" w:hanging="360"/>
      </w:pPr>
      <w:rPr>
        <w:rFonts w:ascii="Arial" w:hAnsi="Arial" w:hint="default"/>
      </w:rPr>
    </w:lvl>
    <w:lvl w:ilvl="3" w:tplc="CCEE8200" w:tentative="1">
      <w:start w:val="1"/>
      <w:numFmt w:val="bullet"/>
      <w:lvlText w:val="•"/>
      <w:lvlJc w:val="left"/>
      <w:pPr>
        <w:tabs>
          <w:tab w:val="num" w:pos="2880"/>
        </w:tabs>
        <w:ind w:left="2880" w:hanging="360"/>
      </w:pPr>
      <w:rPr>
        <w:rFonts w:ascii="Arial" w:hAnsi="Arial" w:hint="default"/>
      </w:rPr>
    </w:lvl>
    <w:lvl w:ilvl="4" w:tplc="D8D89352" w:tentative="1">
      <w:start w:val="1"/>
      <w:numFmt w:val="bullet"/>
      <w:lvlText w:val="•"/>
      <w:lvlJc w:val="left"/>
      <w:pPr>
        <w:tabs>
          <w:tab w:val="num" w:pos="3600"/>
        </w:tabs>
        <w:ind w:left="3600" w:hanging="360"/>
      </w:pPr>
      <w:rPr>
        <w:rFonts w:ascii="Arial" w:hAnsi="Arial" w:hint="default"/>
      </w:rPr>
    </w:lvl>
    <w:lvl w:ilvl="5" w:tplc="49A6CF22" w:tentative="1">
      <w:start w:val="1"/>
      <w:numFmt w:val="bullet"/>
      <w:lvlText w:val="•"/>
      <w:lvlJc w:val="left"/>
      <w:pPr>
        <w:tabs>
          <w:tab w:val="num" w:pos="4320"/>
        </w:tabs>
        <w:ind w:left="4320" w:hanging="360"/>
      </w:pPr>
      <w:rPr>
        <w:rFonts w:ascii="Arial" w:hAnsi="Arial" w:hint="default"/>
      </w:rPr>
    </w:lvl>
    <w:lvl w:ilvl="6" w:tplc="C5E808A8" w:tentative="1">
      <w:start w:val="1"/>
      <w:numFmt w:val="bullet"/>
      <w:lvlText w:val="•"/>
      <w:lvlJc w:val="left"/>
      <w:pPr>
        <w:tabs>
          <w:tab w:val="num" w:pos="5040"/>
        </w:tabs>
        <w:ind w:left="5040" w:hanging="360"/>
      </w:pPr>
      <w:rPr>
        <w:rFonts w:ascii="Arial" w:hAnsi="Arial" w:hint="default"/>
      </w:rPr>
    </w:lvl>
    <w:lvl w:ilvl="7" w:tplc="54A00F78" w:tentative="1">
      <w:start w:val="1"/>
      <w:numFmt w:val="bullet"/>
      <w:lvlText w:val="•"/>
      <w:lvlJc w:val="left"/>
      <w:pPr>
        <w:tabs>
          <w:tab w:val="num" w:pos="5760"/>
        </w:tabs>
        <w:ind w:left="5760" w:hanging="360"/>
      </w:pPr>
      <w:rPr>
        <w:rFonts w:ascii="Arial" w:hAnsi="Arial" w:hint="default"/>
      </w:rPr>
    </w:lvl>
    <w:lvl w:ilvl="8" w:tplc="DC62382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2EF121D"/>
    <w:multiLevelType w:val="hybridMultilevel"/>
    <w:tmpl w:val="0AF84436"/>
    <w:lvl w:ilvl="0" w:tplc="17FC8A76">
      <w:start w:val="1"/>
      <w:numFmt w:val="bullet"/>
      <w:lvlText w:val=""/>
      <w:lvlJc w:val="left"/>
      <w:pPr>
        <w:tabs>
          <w:tab w:val="num" w:pos="720"/>
        </w:tabs>
        <w:ind w:left="720" w:hanging="360"/>
      </w:pPr>
      <w:rPr>
        <w:rFonts w:ascii="Symbol" w:hAnsi="Symbol" w:hint="default"/>
      </w:rPr>
    </w:lvl>
    <w:lvl w:ilvl="1" w:tplc="624EC5AA" w:tentative="1">
      <w:start w:val="1"/>
      <w:numFmt w:val="bullet"/>
      <w:lvlText w:val=""/>
      <w:lvlJc w:val="left"/>
      <w:pPr>
        <w:tabs>
          <w:tab w:val="num" w:pos="1440"/>
        </w:tabs>
        <w:ind w:left="1440" w:hanging="360"/>
      </w:pPr>
      <w:rPr>
        <w:rFonts w:ascii="Symbol" w:hAnsi="Symbol" w:hint="default"/>
      </w:rPr>
    </w:lvl>
    <w:lvl w:ilvl="2" w:tplc="92E28F36" w:tentative="1">
      <w:start w:val="1"/>
      <w:numFmt w:val="bullet"/>
      <w:lvlText w:val=""/>
      <w:lvlJc w:val="left"/>
      <w:pPr>
        <w:tabs>
          <w:tab w:val="num" w:pos="2160"/>
        </w:tabs>
        <w:ind w:left="2160" w:hanging="360"/>
      </w:pPr>
      <w:rPr>
        <w:rFonts w:ascii="Symbol" w:hAnsi="Symbol" w:hint="default"/>
      </w:rPr>
    </w:lvl>
    <w:lvl w:ilvl="3" w:tplc="9E5E2416" w:tentative="1">
      <w:start w:val="1"/>
      <w:numFmt w:val="bullet"/>
      <w:lvlText w:val=""/>
      <w:lvlJc w:val="left"/>
      <w:pPr>
        <w:tabs>
          <w:tab w:val="num" w:pos="2880"/>
        </w:tabs>
        <w:ind w:left="2880" w:hanging="360"/>
      </w:pPr>
      <w:rPr>
        <w:rFonts w:ascii="Symbol" w:hAnsi="Symbol" w:hint="default"/>
      </w:rPr>
    </w:lvl>
    <w:lvl w:ilvl="4" w:tplc="C994C6FC" w:tentative="1">
      <w:start w:val="1"/>
      <w:numFmt w:val="bullet"/>
      <w:lvlText w:val=""/>
      <w:lvlJc w:val="left"/>
      <w:pPr>
        <w:tabs>
          <w:tab w:val="num" w:pos="3600"/>
        </w:tabs>
        <w:ind w:left="3600" w:hanging="360"/>
      </w:pPr>
      <w:rPr>
        <w:rFonts w:ascii="Symbol" w:hAnsi="Symbol" w:hint="default"/>
      </w:rPr>
    </w:lvl>
    <w:lvl w:ilvl="5" w:tplc="39142140" w:tentative="1">
      <w:start w:val="1"/>
      <w:numFmt w:val="bullet"/>
      <w:lvlText w:val=""/>
      <w:lvlJc w:val="left"/>
      <w:pPr>
        <w:tabs>
          <w:tab w:val="num" w:pos="4320"/>
        </w:tabs>
        <w:ind w:left="4320" w:hanging="360"/>
      </w:pPr>
      <w:rPr>
        <w:rFonts w:ascii="Symbol" w:hAnsi="Symbol" w:hint="default"/>
      </w:rPr>
    </w:lvl>
    <w:lvl w:ilvl="6" w:tplc="138AF934" w:tentative="1">
      <w:start w:val="1"/>
      <w:numFmt w:val="bullet"/>
      <w:lvlText w:val=""/>
      <w:lvlJc w:val="left"/>
      <w:pPr>
        <w:tabs>
          <w:tab w:val="num" w:pos="5040"/>
        </w:tabs>
        <w:ind w:left="5040" w:hanging="360"/>
      </w:pPr>
      <w:rPr>
        <w:rFonts w:ascii="Symbol" w:hAnsi="Symbol" w:hint="default"/>
      </w:rPr>
    </w:lvl>
    <w:lvl w:ilvl="7" w:tplc="025A7C0E" w:tentative="1">
      <w:start w:val="1"/>
      <w:numFmt w:val="bullet"/>
      <w:lvlText w:val=""/>
      <w:lvlJc w:val="left"/>
      <w:pPr>
        <w:tabs>
          <w:tab w:val="num" w:pos="5760"/>
        </w:tabs>
        <w:ind w:left="5760" w:hanging="360"/>
      </w:pPr>
      <w:rPr>
        <w:rFonts w:ascii="Symbol" w:hAnsi="Symbol" w:hint="default"/>
      </w:rPr>
    </w:lvl>
    <w:lvl w:ilvl="8" w:tplc="B46E4E8E"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44EC6482"/>
    <w:multiLevelType w:val="hybridMultilevel"/>
    <w:tmpl w:val="213C5C38"/>
    <w:lvl w:ilvl="0" w:tplc="35F4399C">
      <w:start w:val="1"/>
      <w:numFmt w:val="bullet"/>
      <w:lvlText w:val="•"/>
      <w:lvlJc w:val="left"/>
      <w:pPr>
        <w:tabs>
          <w:tab w:val="num" w:pos="720"/>
        </w:tabs>
        <w:ind w:left="720" w:hanging="360"/>
      </w:pPr>
      <w:rPr>
        <w:rFonts w:ascii="Arial" w:hAnsi="Arial" w:hint="default"/>
      </w:rPr>
    </w:lvl>
    <w:lvl w:ilvl="1" w:tplc="9F46D312">
      <w:numFmt w:val="bullet"/>
      <w:lvlText w:val="o"/>
      <w:lvlJc w:val="left"/>
      <w:pPr>
        <w:tabs>
          <w:tab w:val="num" w:pos="1440"/>
        </w:tabs>
        <w:ind w:left="1440" w:hanging="360"/>
      </w:pPr>
      <w:rPr>
        <w:rFonts w:ascii="Courier New" w:hAnsi="Courier New" w:hint="default"/>
      </w:rPr>
    </w:lvl>
    <w:lvl w:ilvl="2" w:tplc="ED16025E">
      <w:numFmt w:val="bullet"/>
      <w:lvlText w:val=""/>
      <w:lvlJc w:val="left"/>
      <w:pPr>
        <w:tabs>
          <w:tab w:val="num" w:pos="2160"/>
        </w:tabs>
        <w:ind w:left="2160" w:hanging="360"/>
      </w:pPr>
      <w:rPr>
        <w:rFonts w:ascii="Wingdings" w:hAnsi="Wingdings" w:hint="default"/>
      </w:rPr>
    </w:lvl>
    <w:lvl w:ilvl="3" w:tplc="2F44B3FA" w:tentative="1">
      <w:start w:val="1"/>
      <w:numFmt w:val="bullet"/>
      <w:lvlText w:val="•"/>
      <w:lvlJc w:val="left"/>
      <w:pPr>
        <w:tabs>
          <w:tab w:val="num" w:pos="2880"/>
        </w:tabs>
        <w:ind w:left="2880" w:hanging="360"/>
      </w:pPr>
      <w:rPr>
        <w:rFonts w:ascii="Arial" w:hAnsi="Arial" w:hint="default"/>
      </w:rPr>
    </w:lvl>
    <w:lvl w:ilvl="4" w:tplc="19DC7AE8" w:tentative="1">
      <w:start w:val="1"/>
      <w:numFmt w:val="bullet"/>
      <w:lvlText w:val="•"/>
      <w:lvlJc w:val="left"/>
      <w:pPr>
        <w:tabs>
          <w:tab w:val="num" w:pos="3600"/>
        </w:tabs>
        <w:ind w:left="3600" w:hanging="360"/>
      </w:pPr>
      <w:rPr>
        <w:rFonts w:ascii="Arial" w:hAnsi="Arial" w:hint="default"/>
      </w:rPr>
    </w:lvl>
    <w:lvl w:ilvl="5" w:tplc="A32E9DD0" w:tentative="1">
      <w:start w:val="1"/>
      <w:numFmt w:val="bullet"/>
      <w:lvlText w:val="•"/>
      <w:lvlJc w:val="left"/>
      <w:pPr>
        <w:tabs>
          <w:tab w:val="num" w:pos="4320"/>
        </w:tabs>
        <w:ind w:left="4320" w:hanging="360"/>
      </w:pPr>
      <w:rPr>
        <w:rFonts w:ascii="Arial" w:hAnsi="Arial" w:hint="default"/>
      </w:rPr>
    </w:lvl>
    <w:lvl w:ilvl="6" w:tplc="E5080D48" w:tentative="1">
      <w:start w:val="1"/>
      <w:numFmt w:val="bullet"/>
      <w:lvlText w:val="•"/>
      <w:lvlJc w:val="left"/>
      <w:pPr>
        <w:tabs>
          <w:tab w:val="num" w:pos="5040"/>
        </w:tabs>
        <w:ind w:left="5040" w:hanging="360"/>
      </w:pPr>
      <w:rPr>
        <w:rFonts w:ascii="Arial" w:hAnsi="Arial" w:hint="default"/>
      </w:rPr>
    </w:lvl>
    <w:lvl w:ilvl="7" w:tplc="065C62A6" w:tentative="1">
      <w:start w:val="1"/>
      <w:numFmt w:val="bullet"/>
      <w:lvlText w:val="•"/>
      <w:lvlJc w:val="left"/>
      <w:pPr>
        <w:tabs>
          <w:tab w:val="num" w:pos="5760"/>
        </w:tabs>
        <w:ind w:left="5760" w:hanging="360"/>
      </w:pPr>
      <w:rPr>
        <w:rFonts w:ascii="Arial" w:hAnsi="Arial" w:hint="default"/>
      </w:rPr>
    </w:lvl>
    <w:lvl w:ilvl="8" w:tplc="DC205FB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CA04863"/>
    <w:multiLevelType w:val="hybridMultilevel"/>
    <w:tmpl w:val="A5AEA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B6735E"/>
    <w:multiLevelType w:val="hybridMultilevel"/>
    <w:tmpl w:val="3CDA0362"/>
    <w:lvl w:ilvl="0" w:tplc="3CDE7AB0">
      <w:start w:val="1"/>
      <w:numFmt w:val="bullet"/>
      <w:lvlText w:val="o"/>
      <w:lvlJc w:val="left"/>
      <w:pPr>
        <w:tabs>
          <w:tab w:val="num" w:pos="720"/>
        </w:tabs>
        <w:ind w:left="720" w:hanging="360"/>
      </w:pPr>
      <w:rPr>
        <w:rFonts w:ascii="Courier New" w:hAnsi="Courier New" w:hint="default"/>
      </w:rPr>
    </w:lvl>
    <w:lvl w:ilvl="1" w:tplc="1F44F9DA">
      <w:start w:val="1"/>
      <w:numFmt w:val="bullet"/>
      <w:lvlText w:val="o"/>
      <w:lvlJc w:val="left"/>
      <w:pPr>
        <w:tabs>
          <w:tab w:val="num" w:pos="1440"/>
        </w:tabs>
        <w:ind w:left="1440" w:hanging="360"/>
      </w:pPr>
      <w:rPr>
        <w:rFonts w:ascii="Courier New" w:hAnsi="Courier New" w:hint="default"/>
      </w:rPr>
    </w:lvl>
    <w:lvl w:ilvl="2" w:tplc="A31AAF86" w:tentative="1">
      <w:start w:val="1"/>
      <w:numFmt w:val="bullet"/>
      <w:lvlText w:val="o"/>
      <w:lvlJc w:val="left"/>
      <w:pPr>
        <w:tabs>
          <w:tab w:val="num" w:pos="2160"/>
        </w:tabs>
        <w:ind w:left="2160" w:hanging="360"/>
      </w:pPr>
      <w:rPr>
        <w:rFonts w:ascii="Courier New" w:hAnsi="Courier New" w:hint="default"/>
      </w:rPr>
    </w:lvl>
    <w:lvl w:ilvl="3" w:tplc="3E9092CE" w:tentative="1">
      <w:start w:val="1"/>
      <w:numFmt w:val="bullet"/>
      <w:lvlText w:val="o"/>
      <w:lvlJc w:val="left"/>
      <w:pPr>
        <w:tabs>
          <w:tab w:val="num" w:pos="2880"/>
        </w:tabs>
        <w:ind w:left="2880" w:hanging="360"/>
      </w:pPr>
      <w:rPr>
        <w:rFonts w:ascii="Courier New" w:hAnsi="Courier New" w:hint="default"/>
      </w:rPr>
    </w:lvl>
    <w:lvl w:ilvl="4" w:tplc="4E105538" w:tentative="1">
      <w:start w:val="1"/>
      <w:numFmt w:val="bullet"/>
      <w:lvlText w:val="o"/>
      <w:lvlJc w:val="left"/>
      <w:pPr>
        <w:tabs>
          <w:tab w:val="num" w:pos="3600"/>
        </w:tabs>
        <w:ind w:left="3600" w:hanging="360"/>
      </w:pPr>
      <w:rPr>
        <w:rFonts w:ascii="Courier New" w:hAnsi="Courier New" w:hint="default"/>
      </w:rPr>
    </w:lvl>
    <w:lvl w:ilvl="5" w:tplc="CC00D288" w:tentative="1">
      <w:start w:val="1"/>
      <w:numFmt w:val="bullet"/>
      <w:lvlText w:val="o"/>
      <w:lvlJc w:val="left"/>
      <w:pPr>
        <w:tabs>
          <w:tab w:val="num" w:pos="4320"/>
        </w:tabs>
        <w:ind w:left="4320" w:hanging="360"/>
      </w:pPr>
      <w:rPr>
        <w:rFonts w:ascii="Courier New" w:hAnsi="Courier New" w:hint="default"/>
      </w:rPr>
    </w:lvl>
    <w:lvl w:ilvl="6" w:tplc="5D18E05C" w:tentative="1">
      <w:start w:val="1"/>
      <w:numFmt w:val="bullet"/>
      <w:lvlText w:val="o"/>
      <w:lvlJc w:val="left"/>
      <w:pPr>
        <w:tabs>
          <w:tab w:val="num" w:pos="5040"/>
        </w:tabs>
        <w:ind w:left="5040" w:hanging="360"/>
      </w:pPr>
      <w:rPr>
        <w:rFonts w:ascii="Courier New" w:hAnsi="Courier New" w:hint="default"/>
      </w:rPr>
    </w:lvl>
    <w:lvl w:ilvl="7" w:tplc="EC60A7A8" w:tentative="1">
      <w:start w:val="1"/>
      <w:numFmt w:val="bullet"/>
      <w:lvlText w:val="o"/>
      <w:lvlJc w:val="left"/>
      <w:pPr>
        <w:tabs>
          <w:tab w:val="num" w:pos="5760"/>
        </w:tabs>
        <w:ind w:left="5760" w:hanging="360"/>
      </w:pPr>
      <w:rPr>
        <w:rFonts w:ascii="Courier New" w:hAnsi="Courier New" w:hint="default"/>
      </w:rPr>
    </w:lvl>
    <w:lvl w:ilvl="8" w:tplc="53DC952A" w:tentative="1">
      <w:start w:val="1"/>
      <w:numFmt w:val="bullet"/>
      <w:lvlText w:val="o"/>
      <w:lvlJc w:val="left"/>
      <w:pPr>
        <w:tabs>
          <w:tab w:val="num" w:pos="6480"/>
        </w:tabs>
        <w:ind w:left="6480" w:hanging="360"/>
      </w:pPr>
      <w:rPr>
        <w:rFonts w:ascii="Courier New" w:hAnsi="Courier New" w:hint="default"/>
      </w:rPr>
    </w:lvl>
  </w:abstractNum>
  <w:abstractNum w:abstractNumId="45"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7" w15:restartNumberingAfterBreak="0">
    <w:nsid w:val="55183358"/>
    <w:multiLevelType w:val="hybridMultilevel"/>
    <w:tmpl w:val="C75E19E0"/>
    <w:lvl w:ilvl="0" w:tplc="0A641C68">
      <w:start w:val="1"/>
      <w:numFmt w:val="bullet"/>
      <w:lvlText w:val="•"/>
      <w:lvlJc w:val="left"/>
      <w:pPr>
        <w:tabs>
          <w:tab w:val="num" w:pos="360"/>
        </w:tabs>
        <w:ind w:left="360" w:hanging="360"/>
      </w:pPr>
      <w:rPr>
        <w:rFonts w:ascii="Arial" w:hAnsi="Arial" w:hint="default"/>
      </w:rPr>
    </w:lvl>
    <w:lvl w:ilvl="1" w:tplc="4050CA82">
      <w:numFmt w:val="bullet"/>
      <w:lvlText w:val="•"/>
      <w:lvlJc w:val="left"/>
      <w:pPr>
        <w:tabs>
          <w:tab w:val="num" w:pos="1080"/>
        </w:tabs>
        <w:ind w:left="1080" w:hanging="360"/>
      </w:pPr>
      <w:rPr>
        <w:rFonts w:ascii="Arial" w:hAnsi="Arial" w:hint="default"/>
      </w:rPr>
    </w:lvl>
    <w:lvl w:ilvl="2" w:tplc="789ED810">
      <w:numFmt w:val="bullet"/>
      <w:lvlText w:val="•"/>
      <w:lvlJc w:val="left"/>
      <w:pPr>
        <w:tabs>
          <w:tab w:val="num" w:pos="1800"/>
        </w:tabs>
        <w:ind w:left="1800" w:hanging="360"/>
      </w:pPr>
      <w:rPr>
        <w:rFonts w:ascii="Microsoft Sans Serif" w:hAnsi="Microsoft Sans Serif" w:hint="default"/>
      </w:rPr>
    </w:lvl>
    <w:lvl w:ilvl="3" w:tplc="6A501AF2" w:tentative="1">
      <w:start w:val="1"/>
      <w:numFmt w:val="bullet"/>
      <w:lvlText w:val="•"/>
      <w:lvlJc w:val="left"/>
      <w:pPr>
        <w:tabs>
          <w:tab w:val="num" w:pos="2520"/>
        </w:tabs>
        <w:ind w:left="2520" w:hanging="360"/>
      </w:pPr>
      <w:rPr>
        <w:rFonts w:ascii="Arial" w:hAnsi="Arial" w:hint="default"/>
      </w:rPr>
    </w:lvl>
    <w:lvl w:ilvl="4" w:tplc="0BEE0FBC" w:tentative="1">
      <w:start w:val="1"/>
      <w:numFmt w:val="bullet"/>
      <w:lvlText w:val="•"/>
      <w:lvlJc w:val="left"/>
      <w:pPr>
        <w:tabs>
          <w:tab w:val="num" w:pos="3240"/>
        </w:tabs>
        <w:ind w:left="3240" w:hanging="360"/>
      </w:pPr>
      <w:rPr>
        <w:rFonts w:ascii="Arial" w:hAnsi="Arial" w:hint="default"/>
      </w:rPr>
    </w:lvl>
    <w:lvl w:ilvl="5" w:tplc="F8F097D8" w:tentative="1">
      <w:start w:val="1"/>
      <w:numFmt w:val="bullet"/>
      <w:lvlText w:val="•"/>
      <w:lvlJc w:val="left"/>
      <w:pPr>
        <w:tabs>
          <w:tab w:val="num" w:pos="3960"/>
        </w:tabs>
        <w:ind w:left="3960" w:hanging="360"/>
      </w:pPr>
      <w:rPr>
        <w:rFonts w:ascii="Arial" w:hAnsi="Arial" w:hint="default"/>
      </w:rPr>
    </w:lvl>
    <w:lvl w:ilvl="6" w:tplc="E89EB566" w:tentative="1">
      <w:start w:val="1"/>
      <w:numFmt w:val="bullet"/>
      <w:lvlText w:val="•"/>
      <w:lvlJc w:val="left"/>
      <w:pPr>
        <w:tabs>
          <w:tab w:val="num" w:pos="4680"/>
        </w:tabs>
        <w:ind w:left="4680" w:hanging="360"/>
      </w:pPr>
      <w:rPr>
        <w:rFonts w:ascii="Arial" w:hAnsi="Arial" w:hint="default"/>
      </w:rPr>
    </w:lvl>
    <w:lvl w:ilvl="7" w:tplc="88360820" w:tentative="1">
      <w:start w:val="1"/>
      <w:numFmt w:val="bullet"/>
      <w:lvlText w:val="•"/>
      <w:lvlJc w:val="left"/>
      <w:pPr>
        <w:tabs>
          <w:tab w:val="num" w:pos="5400"/>
        </w:tabs>
        <w:ind w:left="5400" w:hanging="360"/>
      </w:pPr>
      <w:rPr>
        <w:rFonts w:ascii="Arial" w:hAnsi="Arial" w:hint="default"/>
      </w:rPr>
    </w:lvl>
    <w:lvl w:ilvl="8" w:tplc="08BEA9A6"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56EE2BBA"/>
    <w:multiLevelType w:val="hybridMultilevel"/>
    <w:tmpl w:val="5462B612"/>
    <w:lvl w:ilvl="0" w:tplc="5ADAE8C4">
      <w:start w:val="1"/>
      <w:numFmt w:val="bullet"/>
      <w:lvlText w:val="•"/>
      <w:lvlJc w:val="left"/>
      <w:pPr>
        <w:tabs>
          <w:tab w:val="num" w:pos="720"/>
        </w:tabs>
        <w:ind w:left="720" w:hanging="360"/>
      </w:pPr>
      <w:rPr>
        <w:rFonts w:ascii="Arial" w:hAnsi="Arial" w:hint="default"/>
      </w:rPr>
    </w:lvl>
    <w:lvl w:ilvl="1" w:tplc="6848094A" w:tentative="1">
      <w:start w:val="1"/>
      <w:numFmt w:val="bullet"/>
      <w:lvlText w:val="•"/>
      <w:lvlJc w:val="left"/>
      <w:pPr>
        <w:tabs>
          <w:tab w:val="num" w:pos="1440"/>
        </w:tabs>
        <w:ind w:left="1440" w:hanging="360"/>
      </w:pPr>
      <w:rPr>
        <w:rFonts w:ascii="Arial" w:hAnsi="Arial" w:hint="default"/>
      </w:rPr>
    </w:lvl>
    <w:lvl w:ilvl="2" w:tplc="CEE847DA" w:tentative="1">
      <w:start w:val="1"/>
      <w:numFmt w:val="bullet"/>
      <w:lvlText w:val="•"/>
      <w:lvlJc w:val="left"/>
      <w:pPr>
        <w:tabs>
          <w:tab w:val="num" w:pos="2160"/>
        </w:tabs>
        <w:ind w:left="2160" w:hanging="360"/>
      </w:pPr>
      <w:rPr>
        <w:rFonts w:ascii="Arial" w:hAnsi="Arial" w:hint="default"/>
      </w:rPr>
    </w:lvl>
    <w:lvl w:ilvl="3" w:tplc="E4F8B41E" w:tentative="1">
      <w:start w:val="1"/>
      <w:numFmt w:val="bullet"/>
      <w:lvlText w:val="•"/>
      <w:lvlJc w:val="left"/>
      <w:pPr>
        <w:tabs>
          <w:tab w:val="num" w:pos="2880"/>
        </w:tabs>
        <w:ind w:left="2880" w:hanging="360"/>
      </w:pPr>
      <w:rPr>
        <w:rFonts w:ascii="Arial" w:hAnsi="Arial" w:hint="default"/>
      </w:rPr>
    </w:lvl>
    <w:lvl w:ilvl="4" w:tplc="78223524" w:tentative="1">
      <w:start w:val="1"/>
      <w:numFmt w:val="bullet"/>
      <w:lvlText w:val="•"/>
      <w:lvlJc w:val="left"/>
      <w:pPr>
        <w:tabs>
          <w:tab w:val="num" w:pos="3600"/>
        </w:tabs>
        <w:ind w:left="3600" w:hanging="360"/>
      </w:pPr>
      <w:rPr>
        <w:rFonts w:ascii="Arial" w:hAnsi="Arial" w:hint="default"/>
      </w:rPr>
    </w:lvl>
    <w:lvl w:ilvl="5" w:tplc="210C4966" w:tentative="1">
      <w:start w:val="1"/>
      <w:numFmt w:val="bullet"/>
      <w:lvlText w:val="•"/>
      <w:lvlJc w:val="left"/>
      <w:pPr>
        <w:tabs>
          <w:tab w:val="num" w:pos="4320"/>
        </w:tabs>
        <w:ind w:left="4320" w:hanging="360"/>
      </w:pPr>
      <w:rPr>
        <w:rFonts w:ascii="Arial" w:hAnsi="Arial" w:hint="default"/>
      </w:rPr>
    </w:lvl>
    <w:lvl w:ilvl="6" w:tplc="2E6A05A8" w:tentative="1">
      <w:start w:val="1"/>
      <w:numFmt w:val="bullet"/>
      <w:lvlText w:val="•"/>
      <w:lvlJc w:val="left"/>
      <w:pPr>
        <w:tabs>
          <w:tab w:val="num" w:pos="5040"/>
        </w:tabs>
        <w:ind w:left="5040" w:hanging="360"/>
      </w:pPr>
      <w:rPr>
        <w:rFonts w:ascii="Arial" w:hAnsi="Arial" w:hint="default"/>
      </w:rPr>
    </w:lvl>
    <w:lvl w:ilvl="7" w:tplc="57DE67E8" w:tentative="1">
      <w:start w:val="1"/>
      <w:numFmt w:val="bullet"/>
      <w:lvlText w:val="•"/>
      <w:lvlJc w:val="left"/>
      <w:pPr>
        <w:tabs>
          <w:tab w:val="num" w:pos="5760"/>
        </w:tabs>
        <w:ind w:left="5760" w:hanging="360"/>
      </w:pPr>
      <w:rPr>
        <w:rFonts w:ascii="Arial" w:hAnsi="Arial" w:hint="default"/>
      </w:rPr>
    </w:lvl>
    <w:lvl w:ilvl="8" w:tplc="A3AED56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7FF1E64"/>
    <w:multiLevelType w:val="hybridMultilevel"/>
    <w:tmpl w:val="290E6E42"/>
    <w:lvl w:ilvl="0" w:tplc="3150501A">
      <w:start w:val="1"/>
      <w:numFmt w:val="bullet"/>
      <w:lvlText w:val=""/>
      <w:lvlJc w:val="left"/>
      <w:pPr>
        <w:tabs>
          <w:tab w:val="num" w:pos="720"/>
        </w:tabs>
        <w:ind w:left="720" w:hanging="360"/>
      </w:pPr>
      <w:rPr>
        <w:rFonts w:ascii="Symbol" w:hAnsi="Symbol" w:hint="default"/>
      </w:rPr>
    </w:lvl>
    <w:lvl w:ilvl="1" w:tplc="562AE740" w:tentative="1">
      <w:start w:val="1"/>
      <w:numFmt w:val="bullet"/>
      <w:lvlText w:val=""/>
      <w:lvlJc w:val="left"/>
      <w:pPr>
        <w:tabs>
          <w:tab w:val="num" w:pos="1440"/>
        </w:tabs>
        <w:ind w:left="1440" w:hanging="360"/>
      </w:pPr>
      <w:rPr>
        <w:rFonts w:ascii="Symbol" w:hAnsi="Symbol" w:hint="default"/>
      </w:rPr>
    </w:lvl>
    <w:lvl w:ilvl="2" w:tplc="1B02753A" w:tentative="1">
      <w:start w:val="1"/>
      <w:numFmt w:val="bullet"/>
      <w:lvlText w:val=""/>
      <w:lvlJc w:val="left"/>
      <w:pPr>
        <w:tabs>
          <w:tab w:val="num" w:pos="2160"/>
        </w:tabs>
        <w:ind w:left="2160" w:hanging="360"/>
      </w:pPr>
      <w:rPr>
        <w:rFonts w:ascii="Symbol" w:hAnsi="Symbol" w:hint="default"/>
      </w:rPr>
    </w:lvl>
    <w:lvl w:ilvl="3" w:tplc="9426DCE8" w:tentative="1">
      <w:start w:val="1"/>
      <w:numFmt w:val="bullet"/>
      <w:lvlText w:val=""/>
      <w:lvlJc w:val="left"/>
      <w:pPr>
        <w:tabs>
          <w:tab w:val="num" w:pos="2880"/>
        </w:tabs>
        <w:ind w:left="2880" w:hanging="360"/>
      </w:pPr>
      <w:rPr>
        <w:rFonts w:ascii="Symbol" w:hAnsi="Symbol" w:hint="default"/>
      </w:rPr>
    </w:lvl>
    <w:lvl w:ilvl="4" w:tplc="33B4EAB8" w:tentative="1">
      <w:start w:val="1"/>
      <w:numFmt w:val="bullet"/>
      <w:lvlText w:val=""/>
      <w:lvlJc w:val="left"/>
      <w:pPr>
        <w:tabs>
          <w:tab w:val="num" w:pos="3600"/>
        </w:tabs>
        <w:ind w:left="3600" w:hanging="360"/>
      </w:pPr>
      <w:rPr>
        <w:rFonts w:ascii="Symbol" w:hAnsi="Symbol" w:hint="default"/>
      </w:rPr>
    </w:lvl>
    <w:lvl w:ilvl="5" w:tplc="22322AC2" w:tentative="1">
      <w:start w:val="1"/>
      <w:numFmt w:val="bullet"/>
      <w:lvlText w:val=""/>
      <w:lvlJc w:val="left"/>
      <w:pPr>
        <w:tabs>
          <w:tab w:val="num" w:pos="4320"/>
        </w:tabs>
        <w:ind w:left="4320" w:hanging="360"/>
      </w:pPr>
      <w:rPr>
        <w:rFonts w:ascii="Symbol" w:hAnsi="Symbol" w:hint="default"/>
      </w:rPr>
    </w:lvl>
    <w:lvl w:ilvl="6" w:tplc="BEE02BF2" w:tentative="1">
      <w:start w:val="1"/>
      <w:numFmt w:val="bullet"/>
      <w:lvlText w:val=""/>
      <w:lvlJc w:val="left"/>
      <w:pPr>
        <w:tabs>
          <w:tab w:val="num" w:pos="5040"/>
        </w:tabs>
        <w:ind w:left="5040" w:hanging="360"/>
      </w:pPr>
      <w:rPr>
        <w:rFonts w:ascii="Symbol" w:hAnsi="Symbol" w:hint="default"/>
      </w:rPr>
    </w:lvl>
    <w:lvl w:ilvl="7" w:tplc="5664A9B8" w:tentative="1">
      <w:start w:val="1"/>
      <w:numFmt w:val="bullet"/>
      <w:lvlText w:val=""/>
      <w:lvlJc w:val="left"/>
      <w:pPr>
        <w:tabs>
          <w:tab w:val="num" w:pos="5760"/>
        </w:tabs>
        <w:ind w:left="5760" w:hanging="360"/>
      </w:pPr>
      <w:rPr>
        <w:rFonts w:ascii="Symbol" w:hAnsi="Symbol" w:hint="default"/>
      </w:rPr>
    </w:lvl>
    <w:lvl w:ilvl="8" w:tplc="69C630B6"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5A750865"/>
    <w:multiLevelType w:val="hybridMultilevel"/>
    <w:tmpl w:val="51800C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25014D"/>
    <w:multiLevelType w:val="hybridMultilevel"/>
    <w:tmpl w:val="26084C56"/>
    <w:lvl w:ilvl="0" w:tplc="0FBE67B4">
      <w:start w:val="1"/>
      <w:numFmt w:val="bullet"/>
      <w:lvlText w:val="•"/>
      <w:lvlJc w:val="left"/>
      <w:pPr>
        <w:tabs>
          <w:tab w:val="num" w:pos="720"/>
        </w:tabs>
        <w:ind w:left="720" w:hanging="360"/>
      </w:pPr>
      <w:rPr>
        <w:rFonts w:ascii="Arial" w:hAnsi="Arial" w:hint="default"/>
      </w:rPr>
    </w:lvl>
    <w:lvl w:ilvl="1" w:tplc="D382D914" w:tentative="1">
      <w:start w:val="1"/>
      <w:numFmt w:val="bullet"/>
      <w:lvlText w:val="•"/>
      <w:lvlJc w:val="left"/>
      <w:pPr>
        <w:tabs>
          <w:tab w:val="num" w:pos="1440"/>
        </w:tabs>
        <w:ind w:left="1440" w:hanging="360"/>
      </w:pPr>
      <w:rPr>
        <w:rFonts w:ascii="Arial" w:hAnsi="Arial" w:hint="default"/>
      </w:rPr>
    </w:lvl>
    <w:lvl w:ilvl="2" w:tplc="9788D9D8" w:tentative="1">
      <w:start w:val="1"/>
      <w:numFmt w:val="bullet"/>
      <w:lvlText w:val="•"/>
      <w:lvlJc w:val="left"/>
      <w:pPr>
        <w:tabs>
          <w:tab w:val="num" w:pos="2160"/>
        </w:tabs>
        <w:ind w:left="2160" w:hanging="360"/>
      </w:pPr>
      <w:rPr>
        <w:rFonts w:ascii="Arial" w:hAnsi="Arial" w:hint="default"/>
      </w:rPr>
    </w:lvl>
    <w:lvl w:ilvl="3" w:tplc="D54EB69C" w:tentative="1">
      <w:start w:val="1"/>
      <w:numFmt w:val="bullet"/>
      <w:lvlText w:val="•"/>
      <w:lvlJc w:val="left"/>
      <w:pPr>
        <w:tabs>
          <w:tab w:val="num" w:pos="2880"/>
        </w:tabs>
        <w:ind w:left="2880" w:hanging="360"/>
      </w:pPr>
      <w:rPr>
        <w:rFonts w:ascii="Arial" w:hAnsi="Arial" w:hint="default"/>
      </w:rPr>
    </w:lvl>
    <w:lvl w:ilvl="4" w:tplc="1598ECAC" w:tentative="1">
      <w:start w:val="1"/>
      <w:numFmt w:val="bullet"/>
      <w:lvlText w:val="•"/>
      <w:lvlJc w:val="left"/>
      <w:pPr>
        <w:tabs>
          <w:tab w:val="num" w:pos="3600"/>
        </w:tabs>
        <w:ind w:left="3600" w:hanging="360"/>
      </w:pPr>
      <w:rPr>
        <w:rFonts w:ascii="Arial" w:hAnsi="Arial" w:hint="default"/>
      </w:rPr>
    </w:lvl>
    <w:lvl w:ilvl="5" w:tplc="3C2CDECC" w:tentative="1">
      <w:start w:val="1"/>
      <w:numFmt w:val="bullet"/>
      <w:lvlText w:val="•"/>
      <w:lvlJc w:val="left"/>
      <w:pPr>
        <w:tabs>
          <w:tab w:val="num" w:pos="4320"/>
        </w:tabs>
        <w:ind w:left="4320" w:hanging="360"/>
      </w:pPr>
      <w:rPr>
        <w:rFonts w:ascii="Arial" w:hAnsi="Arial" w:hint="default"/>
      </w:rPr>
    </w:lvl>
    <w:lvl w:ilvl="6" w:tplc="BB285D68" w:tentative="1">
      <w:start w:val="1"/>
      <w:numFmt w:val="bullet"/>
      <w:lvlText w:val="•"/>
      <w:lvlJc w:val="left"/>
      <w:pPr>
        <w:tabs>
          <w:tab w:val="num" w:pos="5040"/>
        </w:tabs>
        <w:ind w:left="5040" w:hanging="360"/>
      </w:pPr>
      <w:rPr>
        <w:rFonts w:ascii="Arial" w:hAnsi="Arial" w:hint="default"/>
      </w:rPr>
    </w:lvl>
    <w:lvl w:ilvl="7" w:tplc="C3BEEBA4" w:tentative="1">
      <w:start w:val="1"/>
      <w:numFmt w:val="bullet"/>
      <w:lvlText w:val="•"/>
      <w:lvlJc w:val="left"/>
      <w:pPr>
        <w:tabs>
          <w:tab w:val="num" w:pos="5760"/>
        </w:tabs>
        <w:ind w:left="5760" w:hanging="360"/>
      </w:pPr>
      <w:rPr>
        <w:rFonts w:ascii="Arial" w:hAnsi="Arial" w:hint="default"/>
      </w:rPr>
    </w:lvl>
    <w:lvl w:ilvl="8" w:tplc="705A95FE"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2826996"/>
    <w:multiLevelType w:val="hybridMultilevel"/>
    <w:tmpl w:val="D7486D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6867699"/>
    <w:multiLevelType w:val="hybridMultilevel"/>
    <w:tmpl w:val="365E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C997BED"/>
    <w:multiLevelType w:val="hybridMultilevel"/>
    <w:tmpl w:val="1F6A7E1E"/>
    <w:lvl w:ilvl="0" w:tplc="D7A09C60">
      <w:start w:val="1"/>
      <w:numFmt w:val="bullet"/>
      <w:lvlText w:val=""/>
      <w:lvlJc w:val="left"/>
      <w:pPr>
        <w:tabs>
          <w:tab w:val="num" w:pos="720"/>
        </w:tabs>
        <w:ind w:left="720" w:hanging="360"/>
      </w:pPr>
      <w:rPr>
        <w:rFonts w:ascii="Symbol" w:hAnsi="Symbol" w:hint="default"/>
      </w:rPr>
    </w:lvl>
    <w:lvl w:ilvl="1" w:tplc="A5C647D0" w:tentative="1">
      <w:start w:val="1"/>
      <w:numFmt w:val="bullet"/>
      <w:lvlText w:val=""/>
      <w:lvlJc w:val="left"/>
      <w:pPr>
        <w:tabs>
          <w:tab w:val="num" w:pos="1440"/>
        </w:tabs>
        <w:ind w:left="1440" w:hanging="360"/>
      </w:pPr>
      <w:rPr>
        <w:rFonts w:ascii="Symbol" w:hAnsi="Symbol" w:hint="default"/>
      </w:rPr>
    </w:lvl>
    <w:lvl w:ilvl="2" w:tplc="4BA44AE2" w:tentative="1">
      <w:start w:val="1"/>
      <w:numFmt w:val="bullet"/>
      <w:lvlText w:val=""/>
      <w:lvlJc w:val="left"/>
      <w:pPr>
        <w:tabs>
          <w:tab w:val="num" w:pos="2160"/>
        </w:tabs>
        <w:ind w:left="2160" w:hanging="360"/>
      </w:pPr>
      <w:rPr>
        <w:rFonts w:ascii="Symbol" w:hAnsi="Symbol" w:hint="default"/>
      </w:rPr>
    </w:lvl>
    <w:lvl w:ilvl="3" w:tplc="33BC3798" w:tentative="1">
      <w:start w:val="1"/>
      <w:numFmt w:val="bullet"/>
      <w:lvlText w:val=""/>
      <w:lvlJc w:val="left"/>
      <w:pPr>
        <w:tabs>
          <w:tab w:val="num" w:pos="2880"/>
        </w:tabs>
        <w:ind w:left="2880" w:hanging="360"/>
      </w:pPr>
      <w:rPr>
        <w:rFonts w:ascii="Symbol" w:hAnsi="Symbol" w:hint="default"/>
      </w:rPr>
    </w:lvl>
    <w:lvl w:ilvl="4" w:tplc="3E7CAB14" w:tentative="1">
      <w:start w:val="1"/>
      <w:numFmt w:val="bullet"/>
      <w:lvlText w:val=""/>
      <w:lvlJc w:val="left"/>
      <w:pPr>
        <w:tabs>
          <w:tab w:val="num" w:pos="3600"/>
        </w:tabs>
        <w:ind w:left="3600" w:hanging="360"/>
      </w:pPr>
      <w:rPr>
        <w:rFonts w:ascii="Symbol" w:hAnsi="Symbol" w:hint="default"/>
      </w:rPr>
    </w:lvl>
    <w:lvl w:ilvl="5" w:tplc="AE929BE4" w:tentative="1">
      <w:start w:val="1"/>
      <w:numFmt w:val="bullet"/>
      <w:lvlText w:val=""/>
      <w:lvlJc w:val="left"/>
      <w:pPr>
        <w:tabs>
          <w:tab w:val="num" w:pos="4320"/>
        </w:tabs>
        <w:ind w:left="4320" w:hanging="360"/>
      </w:pPr>
      <w:rPr>
        <w:rFonts w:ascii="Symbol" w:hAnsi="Symbol" w:hint="default"/>
      </w:rPr>
    </w:lvl>
    <w:lvl w:ilvl="6" w:tplc="FC96D488" w:tentative="1">
      <w:start w:val="1"/>
      <w:numFmt w:val="bullet"/>
      <w:lvlText w:val=""/>
      <w:lvlJc w:val="left"/>
      <w:pPr>
        <w:tabs>
          <w:tab w:val="num" w:pos="5040"/>
        </w:tabs>
        <w:ind w:left="5040" w:hanging="360"/>
      </w:pPr>
      <w:rPr>
        <w:rFonts w:ascii="Symbol" w:hAnsi="Symbol" w:hint="default"/>
      </w:rPr>
    </w:lvl>
    <w:lvl w:ilvl="7" w:tplc="E6980946" w:tentative="1">
      <w:start w:val="1"/>
      <w:numFmt w:val="bullet"/>
      <w:lvlText w:val=""/>
      <w:lvlJc w:val="left"/>
      <w:pPr>
        <w:tabs>
          <w:tab w:val="num" w:pos="5760"/>
        </w:tabs>
        <w:ind w:left="5760" w:hanging="360"/>
      </w:pPr>
      <w:rPr>
        <w:rFonts w:ascii="Symbol" w:hAnsi="Symbol" w:hint="default"/>
      </w:rPr>
    </w:lvl>
    <w:lvl w:ilvl="8" w:tplc="0AD4B674"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6CC6254B"/>
    <w:multiLevelType w:val="hybridMultilevel"/>
    <w:tmpl w:val="C4382CB2"/>
    <w:lvl w:ilvl="0" w:tplc="29343EA8">
      <w:start w:val="1"/>
      <w:numFmt w:val="bullet"/>
      <w:lvlText w:val=""/>
      <w:lvlJc w:val="left"/>
      <w:pPr>
        <w:tabs>
          <w:tab w:val="num" w:pos="720"/>
        </w:tabs>
        <w:ind w:left="720" w:hanging="360"/>
      </w:pPr>
      <w:rPr>
        <w:rFonts w:ascii="Symbol" w:hAnsi="Symbol" w:hint="default"/>
      </w:rPr>
    </w:lvl>
    <w:lvl w:ilvl="1" w:tplc="3C5C087E">
      <w:numFmt w:val="bullet"/>
      <w:lvlText w:val="o"/>
      <w:lvlJc w:val="left"/>
      <w:pPr>
        <w:tabs>
          <w:tab w:val="num" w:pos="1440"/>
        </w:tabs>
        <w:ind w:left="1440" w:hanging="360"/>
      </w:pPr>
      <w:rPr>
        <w:rFonts w:ascii="Courier New" w:hAnsi="Courier New" w:hint="default"/>
      </w:rPr>
    </w:lvl>
    <w:lvl w:ilvl="2" w:tplc="36968F00" w:tentative="1">
      <w:start w:val="1"/>
      <w:numFmt w:val="bullet"/>
      <w:lvlText w:val=""/>
      <w:lvlJc w:val="left"/>
      <w:pPr>
        <w:tabs>
          <w:tab w:val="num" w:pos="2160"/>
        </w:tabs>
        <w:ind w:left="2160" w:hanging="360"/>
      </w:pPr>
      <w:rPr>
        <w:rFonts w:ascii="Symbol" w:hAnsi="Symbol" w:hint="default"/>
      </w:rPr>
    </w:lvl>
    <w:lvl w:ilvl="3" w:tplc="8A6E2F94" w:tentative="1">
      <w:start w:val="1"/>
      <w:numFmt w:val="bullet"/>
      <w:lvlText w:val=""/>
      <w:lvlJc w:val="left"/>
      <w:pPr>
        <w:tabs>
          <w:tab w:val="num" w:pos="2880"/>
        </w:tabs>
        <w:ind w:left="2880" w:hanging="360"/>
      </w:pPr>
      <w:rPr>
        <w:rFonts w:ascii="Symbol" w:hAnsi="Symbol" w:hint="default"/>
      </w:rPr>
    </w:lvl>
    <w:lvl w:ilvl="4" w:tplc="CB980AC8" w:tentative="1">
      <w:start w:val="1"/>
      <w:numFmt w:val="bullet"/>
      <w:lvlText w:val=""/>
      <w:lvlJc w:val="left"/>
      <w:pPr>
        <w:tabs>
          <w:tab w:val="num" w:pos="3600"/>
        </w:tabs>
        <w:ind w:left="3600" w:hanging="360"/>
      </w:pPr>
      <w:rPr>
        <w:rFonts w:ascii="Symbol" w:hAnsi="Symbol" w:hint="default"/>
      </w:rPr>
    </w:lvl>
    <w:lvl w:ilvl="5" w:tplc="DE74B1FC" w:tentative="1">
      <w:start w:val="1"/>
      <w:numFmt w:val="bullet"/>
      <w:lvlText w:val=""/>
      <w:lvlJc w:val="left"/>
      <w:pPr>
        <w:tabs>
          <w:tab w:val="num" w:pos="4320"/>
        </w:tabs>
        <w:ind w:left="4320" w:hanging="360"/>
      </w:pPr>
      <w:rPr>
        <w:rFonts w:ascii="Symbol" w:hAnsi="Symbol" w:hint="default"/>
      </w:rPr>
    </w:lvl>
    <w:lvl w:ilvl="6" w:tplc="870AF412" w:tentative="1">
      <w:start w:val="1"/>
      <w:numFmt w:val="bullet"/>
      <w:lvlText w:val=""/>
      <w:lvlJc w:val="left"/>
      <w:pPr>
        <w:tabs>
          <w:tab w:val="num" w:pos="5040"/>
        </w:tabs>
        <w:ind w:left="5040" w:hanging="360"/>
      </w:pPr>
      <w:rPr>
        <w:rFonts w:ascii="Symbol" w:hAnsi="Symbol" w:hint="default"/>
      </w:rPr>
    </w:lvl>
    <w:lvl w:ilvl="7" w:tplc="1714BF08" w:tentative="1">
      <w:start w:val="1"/>
      <w:numFmt w:val="bullet"/>
      <w:lvlText w:val=""/>
      <w:lvlJc w:val="left"/>
      <w:pPr>
        <w:tabs>
          <w:tab w:val="num" w:pos="5760"/>
        </w:tabs>
        <w:ind w:left="5760" w:hanging="360"/>
      </w:pPr>
      <w:rPr>
        <w:rFonts w:ascii="Symbol" w:hAnsi="Symbol" w:hint="default"/>
      </w:rPr>
    </w:lvl>
    <w:lvl w:ilvl="8" w:tplc="4C9C60CA" w:tentative="1">
      <w:start w:val="1"/>
      <w:numFmt w:val="bullet"/>
      <w:lvlText w:val=""/>
      <w:lvlJc w:val="left"/>
      <w:pPr>
        <w:tabs>
          <w:tab w:val="num" w:pos="6480"/>
        </w:tabs>
        <w:ind w:left="6480" w:hanging="360"/>
      </w:pPr>
      <w:rPr>
        <w:rFonts w:ascii="Symbol" w:hAnsi="Symbol" w:hint="default"/>
      </w:rPr>
    </w:lvl>
  </w:abstractNum>
  <w:abstractNum w:abstractNumId="57" w15:restartNumberingAfterBreak="0">
    <w:nsid w:val="6E7B4175"/>
    <w:multiLevelType w:val="multilevel"/>
    <w:tmpl w:val="0409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58" w15:restartNumberingAfterBreak="0">
    <w:nsid w:val="6EF15AA8"/>
    <w:multiLevelType w:val="hybridMultilevel"/>
    <w:tmpl w:val="637AAB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1" w15:restartNumberingAfterBreak="0">
    <w:nsid w:val="7AFC697F"/>
    <w:multiLevelType w:val="hybridMultilevel"/>
    <w:tmpl w:val="07F4877E"/>
    <w:lvl w:ilvl="0" w:tplc="61BCC3E8">
      <w:start w:val="1"/>
      <w:numFmt w:val="bullet"/>
      <w:lvlText w:val="•"/>
      <w:lvlJc w:val="left"/>
      <w:pPr>
        <w:tabs>
          <w:tab w:val="num" w:pos="720"/>
        </w:tabs>
        <w:ind w:left="720" w:hanging="360"/>
      </w:pPr>
      <w:rPr>
        <w:rFonts w:ascii="Arial" w:hAnsi="Arial" w:hint="default"/>
      </w:rPr>
    </w:lvl>
    <w:lvl w:ilvl="1" w:tplc="5282C892">
      <w:numFmt w:val="bullet"/>
      <w:lvlText w:val="o"/>
      <w:lvlJc w:val="left"/>
      <w:pPr>
        <w:tabs>
          <w:tab w:val="num" w:pos="1440"/>
        </w:tabs>
        <w:ind w:left="1440" w:hanging="360"/>
      </w:pPr>
      <w:rPr>
        <w:rFonts w:ascii="Courier New" w:hAnsi="Courier New" w:hint="default"/>
      </w:rPr>
    </w:lvl>
    <w:lvl w:ilvl="2" w:tplc="3BC678CE" w:tentative="1">
      <w:start w:val="1"/>
      <w:numFmt w:val="bullet"/>
      <w:lvlText w:val="•"/>
      <w:lvlJc w:val="left"/>
      <w:pPr>
        <w:tabs>
          <w:tab w:val="num" w:pos="2160"/>
        </w:tabs>
        <w:ind w:left="2160" w:hanging="360"/>
      </w:pPr>
      <w:rPr>
        <w:rFonts w:ascii="Arial" w:hAnsi="Arial" w:hint="default"/>
      </w:rPr>
    </w:lvl>
    <w:lvl w:ilvl="3" w:tplc="DFEE6D8A" w:tentative="1">
      <w:start w:val="1"/>
      <w:numFmt w:val="bullet"/>
      <w:lvlText w:val="•"/>
      <w:lvlJc w:val="left"/>
      <w:pPr>
        <w:tabs>
          <w:tab w:val="num" w:pos="2880"/>
        </w:tabs>
        <w:ind w:left="2880" w:hanging="360"/>
      </w:pPr>
      <w:rPr>
        <w:rFonts w:ascii="Arial" w:hAnsi="Arial" w:hint="default"/>
      </w:rPr>
    </w:lvl>
    <w:lvl w:ilvl="4" w:tplc="9ECC88BE" w:tentative="1">
      <w:start w:val="1"/>
      <w:numFmt w:val="bullet"/>
      <w:lvlText w:val="•"/>
      <w:lvlJc w:val="left"/>
      <w:pPr>
        <w:tabs>
          <w:tab w:val="num" w:pos="3600"/>
        </w:tabs>
        <w:ind w:left="3600" w:hanging="360"/>
      </w:pPr>
      <w:rPr>
        <w:rFonts w:ascii="Arial" w:hAnsi="Arial" w:hint="default"/>
      </w:rPr>
    </w:lvl>
    <w:lvl w:ilvl="5" w:tplc="4CDAD900" w:tentative="1">
      <w:start w:val="1"/>
      <w:numFmt w:val="bullet"/>
      <w:lvlText w:val="•"/>
      <w:lvlJc w:val="left"/>
      <w:pPr>
        <w:tabs>
          <w:tab w:val="num" w:pos="4320"/>
        </w:tabs>
        <w:ind w:left="4320" w:hanging="360"/>
      </w:pPr>
      <w:rPr>
        <w:rFonts w:ascii="Arial" w:hAnsi="Arial" w:hint="default"/>
      </w:rPr>
    </w:lvl>
    <w:lvl w:ilvl="6" w:tplc="8826BE82" w:tentative="1">
      <w:start w:val="1"/>
      <w:numFmt w:val="bullet"/>
      <w:lvlText w:val="•"/>
      <w:lvlJc w:val="left"/>
      <w:pPr>
        <w:tabs>
          <w:tab w:val="num" w:pos="5040"/>
        </w:tabs>
        <w:ind w:left="5040" w:hanging="360"/>
      </w:pPr>
      <w:rPr>
        <w:rFonts w:ascii="Arial" w:hAnsi="Arial" w:hint="default"/>
      </w:rPr>
    </w:lvl>
    <w:lvl w:ilvl="7" w:tplc="1E7001C2" w:tentative="1">
      <w:start w:val="1"/>
      <w:numFmt w:val="bullet"/>
      <w:lvlText w:val="•"/>
      <w:lvlJc w:val="left"/>
      <w:pPr>
        <w:tabs>
          <w:tab w:val="num" w:pos="5760"/>
        </w:tabs>
        <w:ind w:left="5760" w:hanging="360"/>
      </w:pPr>
      <w:rPr>
        <w:rFonts w:ascii="Arial" w:hAnsi="Arial" w:hint="default"/>
      </w:rPr>
    </w:lvl>
    <w:lvl w:ilvl="8" w:tplc="EA9C245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41"/>
  </w:num>
  <w:num w:numId="3" w16cid:durableId="508250868">
    <w:abstractNumId w:val="63"/>
  </w:num>
  <w:num w:numId="4" w16cid:durableId="475873463">
    <w:abstractNumId w:val="42"/>
  </w:num>
  <w:num w:numId="5" w16cid:durableId="1028142404">
    <w:abstractNumId w:val="39"/>
  </w:num>
  <w:num w:numId="6" w16cid:durableId="1329480246">
    <w:abstractNumId w:val="8"/>
  </w:num>
  <w:num w:numId="7" w16cid:durableId="1343389110">
    <w:abstractNumId w:val="60"/>
  </w:num>
  <w:num w:numId="8" w16cid:durableId="1030640749">
    <w:abstractNumId w:val="35"/>
  </w:num>
  <w:num w:numId="9" w16cid:durableId="1906066534">
    <w:abstractNumId w:val="51"/>
  </w:num>
  <w:num w:numId="10" w16cid:durableId="1901205327">
    <w:abstractNumId w:val="40"/>
  </w:num>
  <w:num w:numId="11" w16cid:durableId="909074107">
    <w:abstractNumId w:val="24"/>
  </w:num>
  <w:num w:numId="12" w16cid:durableId="256449034">
    <w:abstractNumId w:val="4"/>
  </w:num>
  <w:num w:numId="13" w16cid:durableId="852233107">
    <w:abstractNumId w:val="5"/>
  </w:num>
  <w:num w:numId="14" w16cid:durableId="2139882239">
    <w:abstractNumId w:val="59"/>
  </w:num>
  <w:num w:numId="15" w16cid:durableId="453790507">
    <w:abstractNumId w:val="0"/>
  </w:num>
  <w:num w:numId="16" w16cid:durableId="1293294630">
    <w:abstractNumId w:val="45"/>
  </w:num>
  <w:num w:numId="17" w16cid:durableId="1152989745">
    <w:abstractNumId w:val="46"/>
  </w:num>
  <w:num w:numId="18" w16cid:durableId="1903952816">
    <w:abstractNumId w:val="62"/>
  </w:num>
  <w:num w:numId="19" w16cid:durableId="922300922">
    <w:abstractNumId w:val="25"/>
  </w:num>
  <w:num w:numId="20" w16cid:durableId="1221552440">
    <w:abstractNumId w:val="38"/>
  </w:num>
  <w:num w:numId="21" w16cid:durableId="152070713">
    <w:abstractNumId w:val="30"/>
  </w:num>
  <w:num w:numId="22" w16cid:durableId="190192450">
    <w:abstractNumId w:val="29"/>
  </w:num>
  <w:num w:numId="23" w16cid:durableId="1151867103">
    <w:abstractNumId w:val="22"/>
  </w:num>
  <w:num w:numId="24" w16cid:durableId="1134323459">
    <w:abstractNumId w:val="14"/>
  </w:num>
  <w:num w:numId="25" w16cid:durableId="1190417682">
    <w:abstractNumId w:val="1"/>
  </w:num>
  <w:num w:numId="26" w16cid:durableId="535656730">
    <w:abstractNumId w:val="32"/>
  </w:num>
  <w:num w:numId="27" w16cid:durableId="1980257486">
    <w:abstractNumId w:val="2"/>
  </w:num>
  <w:num w:numId="28" w16cid:durableId="1560944864">
    <w:abstractNumId w:val="15"/>
  </w:num>
  <w:num w:numId="29" w16cid:durableId="2114544315">
    <w:abstractNumId w:val="54"/>
  </w:num>
  <w:num w:numId="30" w16cid:durableId="107244373">
    <w:abstractNumId w:val="47"/>
  </w:num>
  <w:num w:numId="31" w16cid:durableId="812525386">
    <w:abstractNumId w:val="3"/>
  </w:num>
  <w:num w:numId="32" w16cid:durableId="945429724">
    <w:abstractNumId w:val="53"/>
  </w:num>
  <w:num w:numId="33" w16cid:durableId="1070418465">
    <w:abstractNumId w:val="20"/>
  </w:num>
  <w:num w:numId="34" w16cid:durableId="854997270">
    <w:abstractNumId w:val="31"/>
  </w:num>
  <w:num w:numId="35" w16cid:durableId="1177110904">
    <w:abstractNumId w:val="37"/>
  </w:num>
  <w:num w:numId="36" w16cid:durableId="295840260">
    <w:abstractNumId w:val="7"/>
  </w:num>
  <w:num w:numId="37" w16cid:durableId="543445757">
    <w:abstractNumId w:val="55"/>
  </w:num>
  <w:num w:numId="38" w16cid:durableId="1822044360">
    <w:abstractNumId w:val="16"/>
  </w:num>
  <w:num w:numId="39" w16cid:durableId="461650947">
    <w:abstractNumId w:val="34"/>
  </w:num>
  <w:num w:numId="40" w16cid:durableId="1976330098">
    <w:abstractNumId w:val="49"/>
  </w:num>
  <w:num w:numId="41" w16cid:durableId="1257901055">
    <w:abstractNumId w:val="52"/>
  </w:num>
  <w:num w:numId="42" w16cid:durableId="566110404">
    <w:abstractNumId w:val="18"/>
  </w:num>
  <w:num w:numId="43" w16cid:durableId="857157972">
    <w:abstractNumId w:val="61"/>
  </w:num>
  <w:num w:numId="44" w16cid:durableId="647247167">
    <w:abstractNumId w:val="27"/>
  </w:num>
  <w:num w:numId="45" w16cid:durableId="902715782">
    <w:abstractNumId w:val="48"/>
  </w:num>
  <w:num w:numId="46" w16cid:durableId="150293257">
    <w:abstractNumId w:val="50"/>
  </w:num>
  <w:num w:numId="47" w16cid:durableId="843130167">
    <w:abstractNumId w:val="58"/>
  </w:num>
  <w:num w:numId="48" w16cid:durableId="945580743">
    <w:abstractNumId w:val="44"/>
  </w:num>
  <w:num w:numId="49" w16cid:durableId="1647776320">
    <w:abstractNumId w:val="28"/>
  </w:num>
  <w:num w:numId="50" w16cid:durableId="726299331">
    <w:abstractNumId w:val="9"/>
  </w:num>
  <w:num w:numId="51" w16cid:durableId="1653099019">
    <w:abstractNumId w:val="17"/>
  </w:num>
  <w:num w:numId="52" w16cid:durableId="1727947046">
    <w:abstractNumId w:val="56"/>
  </w:num>
  <w:num w:numId="53" w16cid:durableId="873813797">
    <w:abstractNumId w:val="36"/>
  </w:num>
  <w:num w:numId="54" w16cid:durableId="2125730373">
    <w:abstractNumId w:val="23"/>
  </w:num>
  <w:num w:numId="55" w16cid:durableId="244999640">
    <w:abstractNumId w:val="13"/>
  </w:num>
  <w:num w:numId="56" w16cid:durableId="153229678">
    <w:abstractNumId w:val="43"/>
  </w:num>
  <w:num w:numId="57" w16cid:durableId="1468007427">
    <w:abstractNumId w:val="12"/>
  </w:num>
  <w:num w:numId="58" w16cid:durableId="591014890">
    <w:abstractNumId w:val="11"/>
  </w:num>
  <w:num w:numId="59" w16cid:durableId="1591498481">
    <w:abstractNumId w:val="21"/>
  </w:num>
  <w:num w:numId="60" w16cid:durableId="90590324">
    <w:abstractNumId w:val="33"/>
  </w:num>
  <w:num w:numId="61" w16cid:durableId="1843817790">
    <w:abstractNumId w:val="19"/>
  </w:num>
  <w:num w:numId="62" w16cid:durableId="1118834195">
    <w:abstractNumId w:val="10"/>
  </w:num>
  <w:num w:numId="63" w16cid:durableId="1613393686">
    <w:abstractNumId w:val="57"/>
  </w:num>
  <w:num w:numId="64" w16cid:durableId="439490935">
    <w:abstractNumId w:val="2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E9"/>
    <w:rsid w:val="00000849"/>
    <w:rsid w:val="0000121C"/>
    <w:rsid w:val="00001B90"/>
    <w:rsid w:val="00001FD9"/>
    <w:rsid w:val="000020C6"/>
    <w:rsid w:val="000020F6"/>
    <w:rsid w:val="0000213C"/>
    <w:rsid w:val="00003267"/>
    <w:rsid w:val="00004472"/>
    <w:rsid w:val="000047D9"/>
    <w:rsid w:val="00005666"/>
    <w:rsid w:val="000059DD"/>
    <w:rsid w:val="0000693F"/>
    <w:rsid w:val="000069D2"/>
    <w:rsid w:val="000072C5"/>
    <w:rsid w:val="000076EC"/>
    <w:rsid w:val="000078DE"/>
    <w:rsid w:val="000104BA"/>
    <w:rsid w:val="000105C5"/>
    <w:rsid w:val="00011129"/>
    <w:rsid w:val="00011513"/>
    <w:rsid w:val="000118B2"/>
    <w:rsid w:val="000118D2"/>
    <w:rsid w:val="00012861"/>
    <w:rsid w:val="00012A23"/>
    <w:rsid w:val="00013546"/>
    <w:rsid w:val="000136E0"/>
    <w:rsid w:val="000139F9"/>
    <w:rsid w:val="00013D19"/>
    <w:rsid w:val="00013DF7"/>
    <w:rsid w:val="00014398"/>
    <w:rsid w:val="00014AC7"/>
    <w:rsid w:val="00014C1C"/>
    <w:rsid w:val="00014D5B"/>
    <w:rsid w:val="000151B0"/>
    <w:rsid w:val="00015676"/>
    <w:rsid w:val="0001608E"/>
    <w:rsid w:val="00016B6D"/>
    <w:rsid w:val="000205A3"/>
    <w:rsid w:val="000219E1"/>
    <w:rsid w:val="00022197"/>
    <w:rsid w:val="000227A0"/>
    <w:rsid w:val="000228CC"/>
    <w:rsid w:val="00022CF7"/>
    <w:rsid w:val="00023018"/>
    <w:rsid w:val="000231C0"/>
    <w:rsid w:val="00023D12"/>
    <w:rsid w:val="00024085"/>
    <w:rsid w:val="0002581B"/>
    <w:rsid w:val="00026748"/>
    <w:rsid w:val="00027265"/>
    <w:rsid w:val="00027B26"/>
    <w:rsid w:val="00027D6E"/>
    <w:rsid w:val="00032174"/>
    <w:rsid w:val="000327BC"/>
    <w:rsid w:val="00032B3E"/>
    <w:rsid w:val="0003430D"/>
    <w:rsid w:val="00034429"/>
    <w:rsid w:val="0003469F"/>
    <w:rsid w:val="000357CD"/>
    <w:rsid w:val="000365EA"/>
    <w:rsid w:val="00036603"/>
    <w:rsid w:val="000369BD"/>
    <w:rsid w:val="00036CCA"/>
    <w:rsid w:val="00036DFB"/>
    <w:rsid w:val="00037145"/>
    <w:rsid w:val="00037203"/>
    <w:rsid w:val="0003720A"/>
    <w:rsid w:val="00037B94"/>
    <w:rsid w:val="00037BD0"/>
    <w:rsid w:val="0004003D"/>
    <w:rsid w:val="0004009F"/>
    <w:rsid w:val="00040E1F"/>
    <w:rsid w:val="000410E7"/>
    <w:rsid w:val="000413D2"/>
    <w:rsid w:val="000420B3"/>
    <w:rsid w:val="000424B8"/>
    <w:rsid w:val="00043680"/>
    <w:rsid w:val="00043699"/>
    <w:rsid w:val="00044403"/>
    <w:rsid w:val="00045248"/>
    <w:rsid w:val="00045501"/>
    <w:rsid w:val="00045ACC"/>
    <w:rsid w:val="00045AF6"/>
    <w:rsid w:val="00047100"/>
    <w:rsid w:val="00047DEB"/>
    <w:rsid w:val="00047E86"/>
    <w:rsid w:val="00050265"/>
    <w:rsid w:val="00050DE9"/>
    <w:rsid w:val="000518E8"/>
    <w:rsid w:val="00051961"/>
    <w:rsid w:val="00051D87"/>
    <w:rsid w:val="00052EBB"/>
    <w:rsid w:val="0005307F"/>
    <w:rsid w:val="00053289"/>
    <w:rsid w:val="00053B58"/>
    <w:rsid w:val="000543ED"/>
    <w:rsid w:val="00054543"/>
    <w:rsid w:val="00054AE5"/>
    <w:rsid w:val="000553B8"/>
    <w:rsid w:val="0005546B"/>
    <w:rsid w:val="000559D2"/>
    <w:rsid w:val="00055CC7"/>
    <w:rsid w:val="00055ED9"/>
    <w:rsid w:val="0005663B"/>
    <w:rsid w:val="00057B27"/>
    <w:rsid w:val="00060458"/>
    <w:rsid w:val="00060969"/>
    <w:rsid w:val="00060A96"/>
    <w:rsid w:val="00060ABD"/>
    <w:rsid w:val="00061308"/>
    <w:rsid w:val="0006199C"/>
    <w:rsid w:val="00062718"/>
    <w:rsid w:val="00062F6F"/>
    <w:rsid w:val="000648EE"/>
    <w:rsid w:val="00065C26"/>
    <w:rsid w:val="00066645"/>
    <w:rsid w:val="000666F8"/>
    <w:rsid w:val="00066FB2"/>
    <w:rsid w:val="00067210"/>
    <w:rsid w:val="00070CC2"/>
    <w:rsid w:val="00070D31"/>
    <w:rsid w:val="000715E0"/>
    <w:rsid w:val="00071C1E"/>
    <w:rsid w:val="0007215C"/>
    <w:rsid w:val="0007258B"/>
    <w:rsid w:val="0007271A"/>
    <w:rsid w:val="0007274E"/>
    <w:rsid w:val="000728E9"/>
    <w:rsid w:val="00072E1C"/>
    <w:rsid w:val="00073489"/>
    <w:rsid w:val="00073E2D"/>
    <w:rsid w:val="00074561"/>
    <w:rsid w:val="000748AB"/>
    <w:rsid w:val="00074AEF"/>
    <w:rsid w:val="00074B4D"/>
    <w:rsid w:val="00074CF0"/>
    <w:rsid w:val="00075479"/>
    <w:rsid w:val="000754B4"/>
    <w:rsid w:val="00075E03"/>
    <w:rsid w:val="0007642D"/>
    <w:rsid w:val="00076F02"/>
    <w:rsid w:val="00077333"/>
    <w:rsid w:val="00077AEA"/>
    <w:rsid w:val="00077BD4"/>
    <w:rsid w:val="0008095D"/>
    <w:rsid w:val="00080B83"/>
    <w:rsid w:val="00082329"/>
    <w:rsid w:val="0008376C"/>
    <w:rsid w:val="000838AE"/>
    <w:rsid w:val="00084465"/>
    <w:rsid w:val="00084780"/>
    <w:rsid w:val="00084BE1"/>
    <w:rsid w:val="000856E5"/>
    <w:rsid w:val="0008611C"/>
    <w:rsid w:val="00086BB1"/>
    <w:rsid w:val="00086F47"/>
    <w:rsid w:val="00087542"/>
    <w:rsid w:val="00090F2F"/>
    <w:rsid w:val="0009120F"/>
    <w:rsid w:val="00091693"/>
    <w:rsid w:val="00091A43"/>
    <w:rsid w:val="00093409"/>
    <w:rsid w:val="000937F9"/>
    <w:rsid w:val="000938A3"/>
    <w:rsid w:val="00094747"/>
    <w:rsid w:val="00094D41"/>
    <w:rsid w:val="00096EAF"/>
    <w:rsid w:val="00097579"/>
    <w:rsid w:val="00097B90"/>
    <w:rsid w:val="00097D87"/>
    <w:rsid w:val="000A0569"/>
    <w:rsid w:val="000A15C6"/>
    <w:rsid w:val="000A1603"/>
    <w:rsid w:val="000A1A66"/>
    <w:rsid w:val="000A20BC"/>
    <w:rsid w:val="000A258E"/>
    <w:rsid w:val="000A2E2D"/>
    <w:rsid w:val="000A3285"/>
    <w:rsid w:val="000A3398"/>
    <w:rsid w:val="000A35FC"/>
    <w:rsid w:val="000A360F"/>
    <w:rsid w:val="000A5B9A"/>
    <w:rsid w:val="000A6CB6"/>
    <w:rsid w:val="000A7317"/>
    <w:rsid w:val="000A7EF1"/>
    <w:rsid w:val="000B0490"/>
    <w:rsid w:val="000B07AE"/>
    <w:rsid w:val="000B10E2"/>
    <w:rsid w:val="000B1609"/>
    <w:rsid w:val="000B16B6"/>
    <w:rsid w:val="000B18AD"/>
    <w:rsid w:val="000B2989"/>
    <w:rsid w:val="000B30D1"/>
    <w:rsid w:val="000B31DC"/>
    <w:rsid w:val="000B33B3"/>
    <w:rsid w:val="000B3789"/>
    <w:rsid w:val="000B3C26"/>
    <w:rsid w:val="000B45B6"/>
    <w:rsid w:val="000B4F8A"/>
    <w:rsid w:val="000B51F5"/>
    <w:rsid w:val="000B6922"/>
    <w:rsid w:val="000B6B22"/>
    <w:rsid w:val="000B6CA0"/>
    <w:rsid w:val="000C0803"/>
    <w:rsid w:val="000C16E0"/>
    <w:rsid w:val="000C2F54"/>
    <w:rsid w:val="000C4285"/>
    <w:rsid w:val="000C4290"/>
    <w:rsid w:val="000C47CB"/>
    <w:rsid w:val="000C4BD6"/>
    <w:rsid w:val="000C5916"/>
    <w:rsid w:val="000C5E13"/>
    <w:rsid w:val="000C600A"/>
    <w:rsid w:val="000C6D28"/>
    <w:rsid w:val="000D01CB"/>
    <w:rsid w:val="000D198B"/>
    <w:rsid w:val="000D1CB2"/>
    <w:rsid w:val="000D2580"/>
    <w:rsid w:val="000D2A2D"/>
    <w:rsid w:val="000D397E"/>
    <w:rsid w:val="000D3CE7"/>
    <w:rsid w:val="000D4892"/>
    <w:rsid w:val="000D65E1"/>
    <w:rsid w:val="000D6E20"/>
    <w:rsid w:val="000D6F15"/>
    <w:rsid w:val="000D7146"/>
    <w:rsid w:val="000D79D0"/>
    <w:rsid w:val="000D7B9C"/>
    <w:rsid w:val="000E0664"/>
    <w:rsid w:val="000E106F"/>
    <w:rsid w:val="000E115D"/>
    <w:rsid w:val="000E15A5"/>
    <w:rsid w:val="000E23A2"/>
    <w:rsid w:val="000E349C"/>
    <w:rsid w:val="000E36EC"/>
    <w:rsid w:val="000E3717"/>
    <w:rsid w:val="000E371C"/>
    <w:rsid w:val="000E3F9C"/>
    <w:rsid w:val="000E6249"/>
    <w:rsid w:val="000E681F"/>
    <w:rsid w:val="000E6C77"/>
    <w:rsid w:val="000E6EC7"/>
    <w:rsid w:val="000E7463"/>
    <w:rsid w:val="000F0DB8"/>
    <w:rsid w:val="000F195F"/>
    <w:rsid w:val="000F1CA1"/>
    <w:rsid w:val="000F1DB2"/>
    <w:rsid w:val="000F23BA"/>
    <w:rsid w:val="000F414E"/>
    <w:rsid w:val="000F4C36"/>
    <w:rsid w:val="000F52E2"/>
    <w:rsid w:val="000F5F9F"/>
    <w:rsid w:val="000F71D0"/>
    <w:rsid w:val="000F7988"/>
    <w:rsid w:val="000F7C2E"/>
    <w:rsid w:val="000F7C37"/>
    <w:rsid w:val="00100153"/>
    <w:rsid w:val="001005EE"/>
    <w:rsid w:val="00100C0C"/>
    <w:rsid w:val="00100CE8"/>
    <w:rsid w:val="001011A2"/>
    <w:rsid w:val="001024B6"/>
    <w:rsid w:val="00102624"/>
    <w:rsid w:val="001032C9"/>
    <w:rsid w:val="0010434C"/>
    <w:rsid w:val="0010445A"/>
    <w:rsid w:val="001069D3"/>
    <w:rsid w:val="00106BA4"/>
    <w:rsid w:val="00107888"/>
    <w:rsid w:val="00112408"/>
    <w:rsid w:val="001125E0"/>
    <w:rsid w:val="00112D3E"/>
    <w:rsid w:val="00112F33"/>
    <w:rsid w:val="00114B2E"/>
    <w:rsid w:val="00115883"/>
    <w:rsid w:val="00115D2B"/>
    <w:rsid w:val="00115DEF"/>
    <w:rsid w:val="00116387"/>
    <w:rsid w:val="001163C4"/>
    <w:rsid w:val="00116864"/>
    <w:rsid w:val="00117097"/>
    <w:rsid w:val="00117B00"/>
    <w:rsid w:val="001200CC"/>
    <w:rsid w:val="0012016A"/>
    <w:rsid w:val="001201CB"/>
    <w:rsid w:val="0012042C"/>
    <w:rsid w:val="00120779"/>
    <w:rsid w:val="001223F3"/>
    <w:rsid w:val="00124BD0"/>
    <w:rsid w:val="00124C3F"/>
    <w:rsid w:val="00124E5A"/>
    <w:rsid w:val="00125136"/>
    <w:rsid w:val="001255DB"/>
    <w:rsid w:val="00125992"/>
    <w:rsid w:val="00125A20"/>
    <w:rsid w:val="00125C07"/>
    <w:rsid w:val="00125E1C"/>
    <w:rsid w:val="001301AC"/>
    <w:rsid w:val="00130892"/>
    <w:rsid w:val="00130DCF"/>
    <w:rsid w:val="001317BD"/>
    <w:rsid w:val="00131BA2"/>
    <w:rsid w:val="001321E7"/>
    <w:rsid w:val="0013247D"/>
    <w:rsid w:val="00134060"/>
    <w:rsid w:val="001343EA"/>
    <w:rsid w:val="001358A1"/>
    <w:rsid w:val="00135C61"/>
    <w:rsid w:val="00136358"/>
    <w:rsid w:val="00136CEA"/>
    <w:rsid w:val="001372B0"/>
    <w:rsid w:val="001375AF"/>
    <w:rsid w:val="001378EC"/>
    <w:rsid w:val="001379D9"/>
    <w:rsid w:val="00137EEC"/>
    <w:rsid w:val="00137F94"/>
    <w:rsid w:val="0014024E"/>
    <w:rsid w:val="00140D88"/>
    <w:rsid w:val="00140ED7"/>
    <w:rsid w:val="00140F58"/>
    <w:rsid w:val="0014132B"/>
    <w:rsid w:val="00141DD0"/>
    <w:rsid w:val="00141E6F"/>
    <w:rsid w:val="00142740"/>
    <w:rsid w:val="00142848"/>
    <w:rsid w:val="00142B66"/>
    <w:rsid w:val="00142CE3"/>
    <w:rsid w:val="001439D8"/>
    <w:rsid w:val="001465FE"/>
    <w:rsid w:val="00147337"/>
    <w:rsid w:val="001506C3"/>
    <w:rsid w:val="00150A77"/>
    <w:rsid w:val="001515DF"/>
    <w:rsid w:val="001516EE"/>
    <w:rsid w:val="001522C2"/>
    <w:rsid w:val="001524A1"/>
    <w:rsid w:val="001526AD"/>
    <w:rsid w:val="0015270C"/>
    <w:rsid w:val="0015390E"/>
    <w:rsid w:val="0015475A"/>
    <w:rsid w:val="0015502A"/>
    <w:rsid w:val="00155E11"/>
    <w:rsid w:val="001567C0"/>
    <w:rsid w:val="00156FC3"/>
    <w:rsid w:val="0015729A"/>
    <w:rsid w:val="0015744B"/>
    <w:rsid w:val="00157580"/>
    <w:rsid w:val="00157664"/>
    <w:rsid w:val="00157711"/>
    <w:rsid w:val="00160DB1"/>
    <w:rsid w:val="00162112"/>
    <w:rsid w:val="00162470"/>
    <w:rsid w:val="001627F0"/>
    <w:rsid w:val="00162C8E"/>
    <w:rsid w:val="00163468"/>
    <w:rsid w:val="00163A22"/>
    <w:rsid w:val="00163C62"/>
    <w:rsid w:val="00163F45"/>
    <w:rsid w:val="00164196"/>
    <w:rsid w:val="00164938"/>
    <w:rsid w:val="001651EB"/>
    <w:rsid w:val="00165632"/>
    <w:rsid w:val="00165F2F"/>
    <w:rsid w:val="0016614A"/>
    <w:rsid w:val="0016698F"/>
    <w:rsid w:val="00166BD2"/>
    <w:rsid w:val="001673F8"/>
    <w:rsid w:val="00167888"/>
    <w:rsid w:val="001678BE"/>
    <w:rsid w:val="00167A2A"/>
    <w:rsid w:val="00167D09"/>
    <w:rsid w:val="00167F70"/>
    <w:rsid w:val="001705CA"/>
    <w:rsid w:val="0017197D"/>
    <w:rsid w:val="001720E6"/>
    <w:rsid w:val="0017346B"/>
    <w:rsid w:val="00173568"/>
    <w:rsid w:val="00173D56"/>
    <w:rsid w:val="00174803"/>
    <w:rsid w:val="001749A0"/>
    <w:rsid w:val="00174A3A"/>
    <w:rsid w:val="00175444"/>
    <w:rsid w:val="00175483"/>
    <w:rsid w:val="00175632"/>
    <w:rsid w:val="00176314"/>
    <w:rsid w:val="00177A13"/>
    <w:rsid w:val="00180419"/>
    <w:rsid w:val="00180764"/>
    <w:rsid w:val="001817E3"/>
    <w:rsid w:val="00182A76"/>
    <w:rsid w:val="00182F44"/>
    <w:rsid w:val="0018496C"/>
    <w:rsid w:val="00184AE3"/>
    <w:rsid w:val="00184BC4"/>
    <w:rsid w:val="00185EF7"/>
    <w:rsid w:val="0018600B"/>
    <w:rsid w:val="001863C0"/>
    <w:rsid w:val="00186636"/>
    <w:rsid w:val="001866EE"/>
    <w:rsid w:val="00186EAC"/>
    <w:rsid w:val="00187F6D"/>
    <w:rsid w:val="00190999"/>
    <w:rsid w:val="001909FD"/>
    <w:rsid w:val="00190B39"/>
    <w:rsid w:val="00190C4F"/>
    <w:rsid w:val="00190CEE"/>
    <w:rsid w:val="00191018"/>
    <w:rsid w:val="001927F8"/>
    <w:rsid w:val="00192C6E"/>
    <w:rsid w:val="00194125"/>
    <w:rsid w:val="00194D2E"/>
    <w:rsid w:val="00194ED7"/>
    <w:rsid w:val="001A0401"/>
    <w:rsid w:val="001A0AA4"/>
    <w:rsid w:val="001A110A"/>
    <w:rsid w:val="001A2209"/>
    <w:rsid w:val="001A2378"/>
    <w:rsid w:val="001A2632"/>
    <w:rsid w:val="001A2A54"/>
    <w:rsid w:val="001A38CA"/>
    <w:rsid w:val="001A3A01"/>
    <w:rsid w:val="001A4BDE"/>
    <w:rsid w:val="001A4BFE"/>
    <w:rsid w:val="001A537C"/>
    <w:rsid w:val="001A53F8"/>
    <w:rsid w:val="001A5665"/>
    <w:rsid w:val="001A59D9"/>
    <w:rsid w:val="001A779C"/>
    <w:rsid w:val="001A7DF2"/>
    <w:rsid w:val="001B013E"/>
    <w:rsid w:val="001B1669"/>
    <w:rsid w:val="001B21F9"/>
    <w:rsid w:val="001B2355"/>
    <w:rsid w:val="001B385B"/>
    <w:rsid w:val="001B3E39"/>
    <w:rsid w:val="001B43FC"/>
    <w:rsid w:val="001B4882"/>
    <w:rsid w:val="001B53D2"/>
    <w:rsid w:val="001B56E9"/>
    <w:rsid w:val="001B64F3"/>
    <w:rsid w:val="001B7199"/>
    <w:rsid w:val="001B7460"/>
    <w:rsid w:val="001B7A9A"/>
    <w:rsid w:val="001C07C8"/>
    <w:rsid w:val="001C1283"/>
    <w:rsid w:val="001C1B4B"/>
    <w:rsid w:val="001C22AB"/>
    <w:rsid w:val="001C2D16"/>
    <w:rsid w:val="001C3367"/>
    <w:rsid w:val="001C34FA"/>
    <w:rsid w:val="001C36A7"/>
    <w:rsid w:val="001C3922"/>
    <w:rsid w:val="001C5C80"/>
    <w:rsid w:val="001C6B75"/>
    <w:rsid w:val="001C6C6C"/>
    <w:rsid w:val="001C70BA"/>
    <w:rsid w:val="001C7DDC"/>
    <w:rsid w:val="001D19A4"/>
    <w:rsid w:val="001D1D47"/>
    <w:rsid w:val="001D2006"/>
    <w:rsid w:val="001D291A"/>
    <w:rsid w:val="001D2AAF"/>
    <w:rsid w:val="001D3B2A"/>
    <w:rsid w:val="001D42EF"/>
    <w:rsid w:val="001D4C68"/>
    <w:rsid w:val="001D553A"/>
    <w:rsid w:val="001D5983"/>
    <w:rsid w:val="001D5D18"/>
    <w:rsid w:val="001D65A1"/>
    <w:rsid w:val="001D66C5"/>
    <w:rsid w:val="001D70AC"/>
    <w:rsid w:val="001D747C"/>
    <w:rsid w:val="001E0073"/>
    <w:rsid w:val="001E018D"/>
    <w:rsid w:val="001E0205"/>
    <w:rsid w:val="001E037B"/>
    <w:rsid w:val="001E0E54"/>
    <w:rsid w:val="001E1098"/>
    <w:rsid w:val="001E32DD"/>
    <w:rsid w:val="001E36E5"/>
    <w:rsid w:val="001E3EF7"/>
    <w:rsid w:val="001E48F9"/>
    <w:rsid w:val="001E4E9F"/>
    <w:rsid w:val="001E50A5"/>
    <w:rsid w:val="001E596F"/>
    <w:rsid w:val="001E5E06"/>
    <w:rsid w:val="001E672E"/>
    <w:rsid w:val="001E6C9B"/>
    <w:rsid w:val="001E6E2D"/>
    <w:rsid w:val="001E6EFB"/>
    <w:rsid w:val="001E7543"/>
    <w:rsid w:val="001E774F"/>
    <w:rsid w:val="001F14C2"/>
    <w:rsid w:val="001F210B"/>
    <w:rsid w:val="001F254B"/>
    <w:rsid w:val="001F2AA0"/>
    <w:rsid w:val="001F2DC3"/>
    <w:rsid w:val="001F3211"/>
    <w:rsid w:val="001F4551"/>
    <w:rsid w:val="001F51E5"/>
    <w:rsid w:val="001F525A"/>
    <w:rsid w:val="001F6489"/>
    <w:rsid w:val="001F6BC4"/>
    <w:rsid w:val="001F6F79"/>
    <w:rsid w:val="001F706E"/>
    <w:rsid w:val="001F7D26"/>
    <w:rsid w:val="00200CA5"/>
    <w:rsid w:val="00201082"/>
    <w:rsid w:val="002014B0"/>
    <w:rsid w:val="00201CC3"/>
    <w:rsid w:val="00202B42"/>
    <w:rsid w:val="00202DBE"/>
    <w:rsid w:val="002033B9"/>
    <w:rsid w:val="00203F5A"/>
    <w:rsid w:val="00204286"/>
    <w:rsid w:val="00204E5C"/>
    <w:rsid w:val="00205041"/>
    <w:rsid w:val="00205533"/>
    <w:rsid w:val="00205606"/>
    <w:rsid w:val="00205ACB"/>
    <w:rsid w:val="00206CF9"/>
    <w:rsid w:val="002102E6"/>
    <w:rsid w:val="002107F5"/>
    <w:rsid w:val="00210C6A"/>
    <w:rsid w:val="00210F86"/>
    <w:rsid w:val="0021147B"/>
    <w:rsid w:val="00211B38"/>
    <w:rsid w:val="002129EB"/>
    <w:rsid w:val="00212D65"/>
    <w:rsid w:val="002130AC"/>
    <w:rsid w:val="002133F5"/>
    <w:rsid w:val="00213D5D"/>
    <w:rsid w:val="00213EE8"/>
    <w:rsid w:val="00214219"/>
    <w:rsid w:val="0021498B"/>
    <w:rsid w:val="00215668"/>
    <w:rsid w:val="002159C3"/>
    <w:rsid w:val="00215B80"/>
    <w:rsid w:val="00215FEA"/>
    <w:rsid w:val="00216A8D"/>
    <w:rsid w:val="00216BD5"/>
    <w:rsid w:val="00216C2B"/>
    <w:rsid w:val="0021799A"/>
    <w:rsid w:val="00217CCA"/>
    <w:rsid w:val="00220110"/>
    <w:rsid w:val="00220486"/>
    <w:rsid w:val="00220650"/>
    <w:rsid w:val="0022083C"/>
    <w:rsid w:val="0022093A"/>
    <w:rsid w:val="002209D0"/>
    <w:rsid w:val="002224F3"/>
    <w:rsid w:val="00222927"/>
    <w:rsid w:val="00222A5A"/>
    <w:rsid w:val="00222ECE"/>
    <w:rsid w:val="002246B2"/>
    <w:rsid w:val="0022474F"/>
    <w:rsid w:val="00224BA3"/>
    <w:rsid w:val="00225170"/>
    <w:rsid w:val="002257B9"/>
    <w:rsid w:val="00226D95"/>
    <w:rsid w:val="002277B7"/>
    <w:rsid w:val="00230263"/>
    <w:rsid w:val="0023277F"/>
    <w:rsid w:val="00232864"/>
    <w:rsid w:val="00232B3F"/>
    <w:rsid w:val="00233CC1"/>
    <w:rsid w:val="002363A7"/>
    <w:rsid w:val="002364B3"/>
    <w:rsid w:val="00237189"/>
    <w:rsid w:val="00237439"/>
    <w:rsid w:val="00237455"/>
    <w:rsid w:val="002377F0"/>
    <w:rsid w:val="00237EF2"/>
    <w:rsid w:val="00240B09"/>
    <w:rsid w:val="00240F7F"/>
    <w:rsid w:val="00241F61"/>
    <w:rsid w:val="00242209"/>
    <w:rsid w:val="00242580"/>
    <w:rsid w:val="00242AB7"/>
    <w:rsid w:val="00242B67"/>
    <w:rsid w:val="0024332F"/>
    <w:rsid w:val="00243591"/>
    <w:rsid w:val="002438D7"/>
    <w:rsid w:val="00243BEB"/>
    <w:rsid w:val="00243F84"/>
    <w:rsid w:val="00244551"/>
    <w:rsid w:val="002453CF"/>
    <w:rsid w:val="00245748"/>
    <w:rsid w:val="00245F7E"/>
    <w:rsid w:val="00246B6B"/>
    <w:rsid w:val="00246C51"/>
    <w:rsid w:val="00246E6D"/>
    <w:rsid w:val="00246F3E"/>
    <w:rsid w:val="00247113"/>
    <w:rsid w:val="0024731D"/>
    <w:rsid w:val="00247523"/>
    <w:rsid w:val="00247ECE"/>
    <w:rsid w:val="00247EF5"/>
    <w:rsid w:val="00250383"/>
    <w:rsid w:val="00250584"/>
    <w:rsid w:val="00250817"/>
    <w:rsid w:val="00251B5A"/>
    <w:rsid w:val="0025366B"/>
    <w:rsid w:val="00253DB0"/>
    <w:rsid w:val="0025433B"/>
    <w:rsid w:val="00254B15"/>
    <w:rsid w:val="00254F53"/>
    <w:rsid w:val="00255F72"/>
    <w:rsid w:val="002564F2"/>
    <w:rsid w:val="002565E3"/>
    <w:rsid w:val="00256D5B"/>
    <w:rsid w:val="00260621"/>
    <w:rsid w:val="002607D1"/>
    <w:rsid w:val="00260FB9"/>
    <w:rsid w:val="00261B56"/>
    <w:rsid w:val="00261F02"/>
    <w:rsid w:val="00262AE7"/>
    <w:rsid w:val="00262B43"/>
    <w:rsid w:val="002630C2"/>
    <w:rsid w:val="00263AF8"/>
    <w:rsid w:val="00264496"/>
    <w:rsid w:val="002647E2"/>
    <w:rsid w:val="0026484B"/>
    <w:rsid w:val="00264C60"/>
    <w:rsid w:val="002652A4"/>
    <w:rsid w:val="00265E64"/>
    <w:rsid w:val="002667F6"/>
    <w:rsid w:val="002667FD"/>
    <w:rsid w:val="002669D2"/>
    <w:rsid w:val="00266BB0"/>
    <w:rsid w:val="00266BFD"/>
    <w:rsid w:val="002675BF"/>
    <w:rsid w:val="00267A95"/>
    <w:rsid w:val="00267E25"/>
    <w:rsid w:val="0027009D"/>
    <w:rsid w:val="00270FA1"/>
    <w:rsid w:val="002710D8"/>
    <w:rsid w:val="002714EC"/>
    <w:rsid w:val="00271E37"/>
    <w:rsid w:val="002724B1"/>
    <w:rsid w:val="00272F9E"/>
    <w:rsid w:val="00273257"/>
    <w:rsid w:val="00273699"/>
    <w:rsid w:val="002738C9"/>
    <w:rsid w:val="00273C47"/>
    <w:rsid w:val="00274063"/>
    <w:rsid w:val="002741AE"/>
    <w:rsid w:val="002750DE"/>
    <w:rsid w:val="002756D9"/>
    <w:rsid w:val="002763D4"/>
    <w:rsid w:val="002764DD"/>
    <w:rsid w:val="0027725D"/>
    <w:rsid w:val="00277894"/>
    <w:rsid w:val="00277A37"/>
    <w:rsid w:val="00277FEC"/>
    <w:rsid w:val="0028040F"/>
    <w:rsid w:val="00281641"/>
    <w:rsid w:val="00281B6D"/>
    <w:rsid w:val="00281BB9"/>
    <w:rsid w:val="00281DF9"/>
    <w:rsid w:val="0028219D"/>
    <w:rsid w:val="00282403"/>
    <w:rsid w:val="002829D9"/>
    <w:rsid w:val="0028302D"/>
    <w:rsid w:val="002830ED"/>
    <w:rsid w:val="00283591"/>
    <w:rsid w:val="00283EE0"/>
    <w:rsid w:val="00285089"/>
    <w:rsid w:val="002850ED"/>
    <w:rsid w:val="00285774"/>
    <w:rsid w:val="00285D76"/>
    <w:rsid w:val="002873C0"/>
    <w:rsid w:val="00287BCB"/>
    <w:rsid w:val="00290023"/>
    <w:rsid w:val="002904EF"/>
    <w:rsid w:val="00291220"/>
    <w:rsid w:val="00291713"/>
    <w:rsid w:val="00292883"/>
    <w:rsid w:val="00293FEE"/>
    <w:rsid w:val="00294BBE"/>
    <w:rsid w:val="00295090"/>
    <w:rsid w:val="00296A99"/>
    <w:rsid w:val="0029748F"/>
    <w:rsid w:val="002A00F7"/>
    <w:rsid w:val="002A015E"/>
    <w:rsid w:val="002A05D5"/>
    <w:rsid w:val="002A071A"/>
    <w:rsid w:val="002A1AE8"/>
    <w:rsid w:val="002A1E3D"/>
    <w:rsid w:val="002A299D"/>
    <w:rsid w:val="002A3466"/>
    <w:rsid w:val="002A39E1"/>
    <w:rsid w:val="002A42B1"/>
    <w:rsid w:val="002A43AC"/>
    <w:rsid w:val="002A4DF8"/>
    <w:rsid w:val="002A4E64"/>
    <w:rsid w:val="002A5035"/>
    <w:rsid w:val="002A5A11"/>
    <w:rsid w:val="002A5DCF"/>
    <w:rsid w:val="002A709C"/>
    <w:rsid w:val="002A729E"/>
    <w:rsid w:val="002A7882"/>
    <w:rsid w:val="002A7B15"/>
    <w:rsid w:val="002A7C1E"/>
    <w:rsid w:val="002B041D"/>
    <w:rsid w:val="002B0875"/>
    <w:rsid w:val="002B09E8"/>
    <w:rsid w:val="002B0EA5"/>
    <w:rsid w:val="002B111C"/>
    <w:rsid w:val="002B1A25"/>
    <w:rsid w:val="002B1A48"/>
    <w:rsid w:val="002B1A60"/>
    <w:rsid w:val="002B1AE2"/>
    <w:rsid w:val="002B386D"/>
    <w:rsid w:val="002B3929"/>
    <w:rsid w:val="002B4CDB"/>
    <w:rsid w:val="002B4D51"/>
    <w:rsid w:val="002B53C5"/>
    <w:rsid w:val="002B57B7"/>
    <w:rsid w:val="002B64B4"/>
    <w:rsid w:val="002B68A5"/>
    <w:rsid w:val="002B69C1"/>
    <w:rsid w:val="002B6E1B"/>
    <w:rsid w:val="002C07B9"/>
    <w:rsid w:val="002C0EB8"/>
    <w:rsid w:val="002C0FD0"/>
    <w:rsid w:val="002C221A"/>
    <w:rsid w:val="002C225D"/>
    <w:rsid w:val="002C291C"/>
    <w:rsid w:val="002C2C94"/>
    <w:rsid w:val="002C3391"/>
    <w:rsid w:val="002C412C"/>
    <w:rsid w:val="002C422F"/>
    <w:rsid w:val="002C428D"/>
    <w:rsid w:val="002C4A4D"/>
    <w:rsid w:val="002C5A5A"/>
    <w:rsid w:val="002C6879"/>
    <w:rsid w:val="002C6CC6"/>
    <w:rsid w:val="002D0293"/>
    <w:rsid w:val="002D05CD"/>
    <w:rsid w:val="002D0FC1"/>
    <w:rsid w:val="002D1318"/>
    <w:rsid w:val="002D1BE8"/>
    <w:rsid w:val="002D1C59"/>
    <w:rsid w:val="002D1FD5"/>
    <w:rsid w:val="002D31A0"/>
    <w:rsid w:val="002D38EF"/>
    <w:rsid w:val="002D40E8"/>
    <w:rsid w:val="002D5CC8"/>
    <w:rsid w:val="002D6267"/>
    <w:rsid w:val="002D70EA"/>
    <w:rsid w:val="002D71E2"/>
    <w:rsid w:val="002E052A"/>
    <w:rsid w:val="002E0B73"/>
    <w:rsid w:val="002E1928"/>
    <w:rsid w:val="002E1C37"/>
    <w:rsid w:val="002E1D16"/>
    <w:rsid w:val="002E2070"/>
    <w:rsid w:val="002E2613"/>
    <w:rsid w:val="002E400F"/>
    <w:rsid w:val="002E5136"/>
    <w:rsid w:val="002E5B6B"/>
    <w:rsid w:val="002E701C"/>
    <w:rsid w:val="002E7084"/>
    <w:rsid w:val="002E7CBA"/>
    <w:rsid w:val="002F051D"/>
    <w:rsid w:val="002F13B0"/>
    <w:rsid w:val="002F1AA1"/>
    <w:rsid w:val="002F2078"/>
    <w:rsid w:val="002F25DC"/>
    <w:rsid w:val="002F2A54"/>
    <w:rsid w:val="002F2D83"/>
    <w:rsid w:val="002F2DE8"/>
    <w:rsid w:val="002F2EAD"/>
    <w:rsid w:val="002F2F5C"/>
    <w:rsid w:val="002F40FE"/>
    <w:rsid w:val="002F4504"/>
    <w:rsid w:val="002F45B9"/>
    <w:rsid w:val="002F4766"/>
    <w:rsid w:val="002F5850"/>
    <w:rsid w:val="002F6888"/>
    <w:rsid w:val="002F6FA0"/>
    <w:rsid w:val="002F6FEB"/>
    <w:rsid w:val="002F762A"/>
    <w:rsid w:val="0030132D"/>
    <w:rsid w:val="00301D32"/>
    <w:rsid w:val="003022EB"/>
    <w:rsid w:val="0030367D"/>
    <w:rsid w:val="00303B22"/>
    <w:rsid w:val="00303D39"/>
    <w:rsid w:val="003040C8"/>
    <w:rsid w:val="003077BA"/>
    <w:rsid w:val="0031096D"/>
    <w:rsid w:val="00311293"/>
    <w:rsid w:val="00311978"/>
    <w:rsid w:val="00312F38"/>
    <w:rsid w:val="003137D2"/>
    <w:rsid w:val="00313D22"/>
    <w:rsid w:val="0031414C"/>
    <w:rsid w:val="00314634"/>
    <w:rsid w:val="0031510A"/>
    <w:rsid w:val="003159E7"/>
    <w:rsid w:val="00315A3F"/>
    <w:rsid w:val="00315B2E"/>
    <w:rsid w:val="003168DB"/>
    <w:rsid w:val="003172CC"/>
    <w:rsid w:val="003175E7"/>
    <w:rsid w:val="0032065F"/>
    <w:rsid w:val="00321034"/>
    <w:rsid w:val="00321A06"/>
    <w:rsid w:val="00321F1A"/>
    <w:rsid w:val="00322580"/>
    <w:rsid w:val="00322ABB"/>
    <w:rsid w:val="00322D85"/>
    <w:rsid w:val="00322F63"/>
    <w:rsid w:val="00322FDC"/>
    <w:rsid w:val="003233C6"/>
    <w:rsid w:val="00323924"/>
    <w:rsid w:val="00323FC1"/>
    <w:rsid w:val="00324524"/>
    <w:rsid w:val="00324581"/>
    <w:rsid w:val="003258C5"/>
    <w:rsid w:val="00325A89"/>
    <w:rsid w:val="00325E37"/>
    <w:rsid w:val="0032660B"/>
    <w:rsid w:val="0032665F"/>
    <w:rsid w:val="0032686D"/>
    <w:rsid w:val="003277FD"/>
    <w:rsid w:val="00330011"/>
    <w:rsid w:val="00330269"/>
    <w:rsid w:val="003302CC"/>
    <w:rsid w:val="003309FC"/>
    <w:rsid w:val="00330C19"/>
    <w:rsid w:val="00331FBA"/>
    <w:rsid w:val="00332320"/>
    <w:rsid w:val="003324AE"/>
    <w:rsid w:val="00332854"/>
    <w:rsid w:val="003335A0"/>
    <w:rsid w:val="003338EF"/>
    <w:rsid w:val="00333E4D"/>
    <w:rsid w:val="00333E72"/>
    <w:rsid w:val="003346F0"/>
    <w:rsid w:val="00334C1E"/>
    <w:rsid w:val="00336047"/>
    <w:rsid w:val="00336DF4"/>
    <w:rsid w:val="00337205"/>
    <w:rsid w:val="0033741D"/>
    <w:rsid w:val="0033798D"/>
    <w:rsid w:val="00340644"/>
    <w:rsid w:val="00340BC1"/>
    <w:rsid w:val="00341110"/>
    <w:rsid w:val="00341A05"/>
    <w:rsid w:val="0034220E"/>
    <w:rsid w:val="00342965"/>
    <w:rsid w:val="00342D6E"/>
    <w:rsid w:val="00343184"/>
    <w:rsid w:val="0034373B"/>
    <w:rsid w:val="0034384E"/>
    <w:rsid w:val="003439D9"/>
    <w:rsid w:val="00343E7A"/>
    <w:rsid w:val="003449DB"/>
    <w:rsid w:val="00345EA9"/>
    <w:rsid w:val="00346527"/>
    <w:rsid w:val="003473A6"/>
    <w:rsid w:val="003478BF"/>
    <w:rsid w:val="00347AAD"/>
    <w:rsid w:val="00347C1B"/>
    <w:rsid w:val="00347EA0"/>
    <w:rsid w:val="003500A5"/>
    <w:rsid w:val="0035056C"/>
    <w:rsid w:val="00350582"/>
    <w:rsid w:val="00351BCD"/>
    <w:rsid w:val="003528C1"/>
    <w:rsid w:val="00352B92"/>
    <w:rsid w:val="00353136"/>
    <w:rsid w:val="00353CD1"/>
    <w:rsid w:val="00353F38"/>
    <w:rsid w:val="00354246"/>
    <w:rsid w:val="003553CE"/>
    <w:rsid w:val="0035579A"/>
    <w:rsid w:val="00355876"/>
    <w:rsid w:val="00356156"/>
    <w:rsid w:val="00357523"/>
    <w:rsid w:val="0035779B"/>
    <w:rsid w:val="003577E9"/>
    <w:rsid w:val="003578E4"/>
    <w:rsid w:val="00357AA4"/>
    <w:rsid w:val="00360DB3"/>
    <w:rsid w:val="00361546"/>
    <w:rsid w:val="00361860"/>
    <w:rsid w:val="00362D1D"/>
    <w:rsid w:val="00363585"/>
    <w:rsid w:val="00363DC2"/>
    <w:rsid w:val="00364284"/>
    <w:rsid w:val="003647C9"/>
    <w:rsid w:val="00364A25"/>
    <w:rsid w:val="003656E5"/>
    <w:rsid w:val="003658BF"/>
    <w:rsid w:val="00365C80"/>
    <w:rsid w:val="0036611E"/>
    <w:rsid w:val="00366C3B"/>
    <w:rsid w:val="003715B2"/>
    <w:rsid w:val="00371705"/>
    <w:rsid w:val="003733F6"/>
    <w:rsid w:val="003742A6"/>
    <w:rsid w:val="0037543C"/>
    <w:rsid w:val="00375694"/>
    <w:rsid w:val="00376CB1"/>
    <w:rsid w:val="003774BD"/>
    <w:rsid w:val="003809ED"/>
    <w:rsid w:val="00380E28"/>
    <w:rsid w:val="00381CD5"/>
    <w:rsid w:val="00381F3A"/>
    <w:rsid w:val="00381FE9"/>
    <w:rsid w:val="0038341D"/>
    <w:rsid w:val="0038390C"/>
    <w:rsid w:val="00383F91"/>
    <w:rsid w:val="00384084"/>
    <w:rsid w:val="00385619"/>
    <w:rsid w:val="00386028"/>
    <w:rsid w:val="00386575"/>
    <w:rsid w:val="00386949"/>
    <w:rsid w:val="003870EE"/>
    <w:rsid w:val="0038733B"/>
    <w:rsid w:val="00390DD4"/>
    <w:rsid w:val="00390E8B"/>
    <w:rsid w:val="00392475"/>
    <w:rsid w:val="00393094"/>
    <w:rsid w:val="00394676"/>
    <w:rsid w:val="00394D2A"/>
    <w:rsid w:val="00394D88"/>
    <w:rsid w:val="003954A5"/>
    <w:rsid w:val="003955E7"/>
    <w:rsid w:val="00396328"/>
    <w:rsid w:val="0039679F"/>
    <w:rsid w:val="00396C47"/>
    <w:rsid w:val="0039728E"/>
    <w:rsid w:val="00397807"/>
    <w:rsid w:val="003979B4"/>
    <w:rsid w:val="00397C40"/>
    <w:rsid w:val="003A01B0"/>
    <w:rsid w:val="003A142C"/>
    <w:rsid w:val="003A1C46"/>
    <w:rsid w:val="003A2CC1"/>
    <w:rsid w:val="003A3015"/>
    <w:rsid w:val="003A5EA6"/>
    <w:rsid w:val="003A66CA"/>
    <w:rsid w:val="003A68FA"/>
    <w:rsid w:val="003A6940"/>
    <w:rsid w:val="003A6A98"/>
    <w:rsid w:val="003A744E"/>
    <w:rsid w:val="003A784C"/>
    <w:rsid w:val="003B0057"/>
    <w:rsid w:val="003B1498"/>
    <w:rsid w:val="003B1776"/>
    <w:rsid w:val="003B23FA"/>
    <w:rsid w:val="003B3080"/>
    <w:rsid w:val="003B3CD7"/>
    <w:rsid w:val="003B419E"/>
    <w:rsid w:val="003B5254"/>
    <w:rsid w:val="003B5315"/>
    <w:rsid w:val="003B56FC"/>
    <w:rsid w:val="003B6046"/>
    <w:rsid w:val="003B6214"/>
    <w:rsid w:val="003B6750"/>
    <w:rsid w:val="003B7686"/>
    <w:rsid w:val="003C0537"/>
    <w:rsid w:val="003C09F5"/>
    <w:rsid w:val="003C0B24"/>
    <w:rsid w:val="003C1597"/>
    <w:rsid w:val="003C1E22"/>
    <w:rsid w:val="003C35ED"/>
    <w:rsid w:val="003C4AE4"/>
    <w:rsid w:val="003C4F56"/>
    <w:rsid w:val="003C5AC5"/>
    <w:rsid w:val="003C75AD"/>
    <w:rsid w:val="003C76D9"/>
    <w:rsid w:val="003C7FA2"/>
    <w:rsid w:val="003D0303"/>
    <w:rsid w:val="003D047C"/>
    <w:rsid w:val="003D0C79"/>
    <w:rsid w:val="003D1DB4"/>
    <w:rsid w:val="003D252D"/>
    <w:rsid w:val="003D2EBB"/>
    <w:rsid w:val="003D4EDC"/>
    <w:rsid w:val="003D50D1"/>
    <w:rsid w:val="003D550E"/>
    <w:rsid w:val="003D5A5F"/>
    <w:rsid w:val="003D5BCF"/>
    <w:rsid w:val="003D5CE8"/>
    <w:rsid w:val="003D6D83"/>
    <w:rsid w:val="003D7590"/>
    <w:rsid w:val="003E0D33"/>
    <w:rsid w:val="003E0FE9"/>
    <w:rsid w:val="003E12D1"/>
    <w:rsid w:val="003E1627"/>
    <w:rsid w:val="003E1904"/>
    <w:rsid w:val="003E1E81"/>
    <w:rsid w:val="003E246A"/>
    <w:rsid w:val="003E3862"/>
    <w:rsid w:val="003E386E"/>
    <w:rsid w:val="003E395F"/>
    <w:rsid w:val="003E3CAD"/>
    <w:rsid w:val="003E3ED5"/>
    <w:rsid w:val="003E5117"/>
    <w:rsid w:val="003E5865"/>
    <w:rsid w:val="003E620F"/>
    <w:rsid w:val="003E66D5"/>
    <w:rsid w:val="003E68E2"/>
    <w:rsid w:val="003F03D1"/>
    <w:rsid w:val="003F0683"/>
    <w:rsid w:val="003F0C68"/>
    <w:rsid w:val="003F1022"/>
    <w:rsid w:val="003F1425"/>
    <w:rsid w:val="003F14D4"/>
    <w:rsid w:val="003F1515"/>
    <w:rsid w:val="003F214A"/>
    <w:rsid w:val="003F27DC"/>
    <w:rsid w:val="003F37A4"/>
    <w:rsid w:val="003F3B78"/>
    <w:rsid w:val="003F3FAF"/>
    <w:rsid w:val="003F4733"/>
    <w:rsid w:val="003F4864"/>
    <w:rsid w:val="003F5C3B"/>
    <w:rsid w:val="003F63A5"/>
    <w:rsid w:val="003F6583"/>
    <w:rsid w:val="003F6B18"/>
    <w:rsid w:val="003F7A15"/>
    <w:rsid w:val="0040027A"/>
    <w:rsid w:val="00400E45"/>
    <w:rsid w:val="004010E5"/>
    <w:rsid w:val="0040135D"/>
    <w:rsid w:val="00402046"/>
    <w:rsid w:val="004029C3"/>
    <w:rsid w:val="00403ABF"/>
    <w:rsid w:val="004041F5"/>
    <w:rsid w:val="00405843"/>
    <w:rsid w:val="0040584E"/>
    <w:rsid w:val="00405936"/>
    <w:rsid w:val="00406507"/>
    <w:rsid w:val="004068C8"/>
    <w:rsid w:val="0040707B"/>
    <w:rsid w:val="00407B79"/>
    <w:rsid w:val="00407D27"/>
    <w:rsid w:val="0041053A"/>
    <w:rsid w:val="00410BAC"/>
    <w:rsid w:val="00410CCF"/>
    <w:rsid w:val="00411142"/>
    <w:rsid w:val="00411B27"/>
    <w:rsid w:val="00411D38"/>
    <w:rsid w:val="00411F2F"/>
    <w:rsid w:val="00413325"/>
    <w:rsid w:val="00413D3F"/>
    <w:rsid w:val="00413FB4"/>
    <w:rsid w:val="00414552"/>
    <w:rsid w:val="00414608"/>
    <w:rsid w:val="004155E5"/>
    <w:rsid w:val="004169B4"/>
    <w:rsid w:val="00417344"/>
    <w:rsid w:val="00417723"/>
    <w:rsid w:val="00417E1B"/>
    <w:rsid w:val="00417FDE"/>
    <w:rsid w:val="004203B4"/>
    <w:rsid w:val="00420BF8"/>
    <w:rsid w:val="00421CD2"/>
    <w:rsid w:val="00421FE6"/>
    <w:rsid w:val="004222F3"/>
    <w:rsid w:val="004230B8"/>
    <w:rsid w:val="004236C6"/>
    <w:rsid w:val="0042541D"/>
    <w:rsid w:val="00425E91"/>
    <w:rsid w:val="00426E43"/>
    <w:rsid w:val="00427223"/>
    <w:rsid w:val="0042753F"/>
    <w:rsid w:val="004278C1"/>
    <w:rsid w:val="00430493"/>
    <w:rsid w:val="00430F27"/>
    <w:rsid w:val="0043175B"/>
    <w:rsid w:val="00431990"/>
    <w:rsid w:val="004324FF"/>
    <w:rsid w:val="004327E4"/>
    <w:rsid w:val="00432F3D"/>
    <w:rsid w:val="0043513B"/>
    <w:rsid w:val="00435AC0"/>
    <w:rsid w:val="00435D13"/>
    <w:rsid w:val="00436185"/>
    <w:rsid w:val="0043670F"/>
    <w:rsid w:val="0043698B"/>
    <w:rsid w:val="00436A88"/>
    <w:rsid w:val="00437839"/>
    <w:rsid w:val="0043795E"/>
    <w:rsid w:val="00437EB9"/>
    <w:rsid w:val="00440705"/>
    <w:rsid w:val="004412E2"/>
    <w:rsid w:val="004424A4"/>
    <w:rsid w:val="004430D6"/>
    <w:rsid w:val="00443523"/>
    <w:rsid w:val="0044398E"/>
    <w:rsid w:val="00443C55"/>
    <w:rsid w:val="004449C3"/>
    <w:rsid w:val="00445571"/>
    <w:rsid w:val="00446497"/>
    <w:rsid w:val="00446827"/>
    <w:rsid w:val="00446FF1"/>
    <w:rsid w:val="004477EB"/>
    <w:rsid w:val="004502BA"/>
    <w:rsid w:val="004504E5"/>
    <w:rsid w:val="00450876"/>
    <w:rsid w:val="00450C3B"/>
    <w:rsid w:val="00450D19"/>
    <w:rsid w:val="00450EFE"/>
    <w:rsid w:val="00451AFD"/>
    <w:rsid w:val="0045230B"/>
    <w:rsid w:val="004526F4"/>
    <w:rsid w:val="00452A89"/>
    <w:rsid w:val="00453175"/>
    <w:rsid w:val="00453745"/>
    <w:rsid w:val="0045426E"/>
    <w:rsid w:val="00454FD3"/>
    <w:rsid w:val="004552B1"/>
    <w:rsid w:val="00455951"/>
    <w:rsid w:val="0045602E"/>
    <w:rsid w:val="00461540"/>
    <w:rsid w:val="00461A33"/>
    <w:rsid w:val="004627A0"/>
    <w:rsid w:val="00462EDF"/>
    <w:rsid w:val="0046314B"/>
    <w:rsid w:val="00463701"/>
    <w:rsid w:val="00463790"/>
    <w:rsid w:val="00463A3B"/>
    <w:rsid w:val="0046501C"/>
    <w:rsid w:val="004659F6"/>
    <w:rsid w:val="00465B11"/>
    <w:rsid w:val="00465BC5"/>
    <w:rsid w:val="004667C5"/>
    <w:rsid w:val="004669A3"/>
    <w:rsid w:val="00466A64"/>
    <w:rsid w:val="00467269"/>
    <w:rsid w:val="00467BB1"/>
    <w:rsid w:val="00467BE2"/>
    <w:rsid w:val="00467D1D"/>
    <w:rsid w:val="00467DC1"/>
    <w:rsid w:val="00470D8D"/>
    <w:rsid w:val="0047209F"/>
    <w:rsid w:val="004722A5"/>
    <w:rsid w:val="004723E2"/>
    <w:rsid w:val="00473420"/>
    <w:rsid w:val="004734BA"/>
    <w:rsid w:val="00473544"/>
    <w:rsid w:val="00475B46"/>
    <w:rsid w:val="00475B82"/>
    <w:rsid w:val="00475BA0"/>
    <w:rsid w:val="00476229"/>
    <w:rsid w:val="00477099"/>
    <w:rsid w:val="004772A1"/>
    <w:rsid w:val="00477D72"/>
    <w:rsid w:val="00480570"/>
    <w:rsid w:val="00480E65"/>
    <w:rsid w:val="0048168E"/>
    <w:rsid w:val="00481B24"/>
    <w:rsid w:val="00482F04"/>
    <w:rsid w:val="00483387"/>
    <w:rsid w:val="00483656"/>
    <w:rsid w:val="004838FC"/>
    <w:rsid w:val="00484A16"/>
    <w:rsid w:val="00485E08"/>
    <w:rsid w:val="00485E4C"/>
    <w:rsid w:val="00487543"/>
    <w:rsid w:val="00487722"/>
    <w:rsid w:val="00490001"/>
    <w:rsid w:val="00490285"/>
    <w:rsid w:val="004907FE"/>
    <w:rsid w:val="00490969"/>
    <w:rsid w:val="00491084"/>
    <w:rsid w:val="004914D1"/>
    <w:rsid w:val="00493332"/>
    <w:rsid w:val="004937DD"/>
    <w:rsid w:val="004940A8"/>
    <w:rsid w:val="004941ED"/>
    <w:rsid w:val="00494F06"/>
    <w:rsid w:val="0049520F"/>
    <w:rsid w:val="004955AC"/>
    <w:rsid w:val="004957C4"/>
    <w:rsid w:val="00496224"/>
    <w:rsid w:val="004967BF"/>
    <w:rsid w:val="0049752F"/>
    <w:rsid w:val="004977AD"/>
    <w:rsid w:val="004A1663"/>
    <w:rsid w:val="004A2396"/>
    <w:rsid w:val="004A25F0"/>
    <w:rsid w:val="004A2C8C"/>
    <w:rsid w:val="004A37CB"/>
    <w:rsid w:val="004A390C"/>
    <w:rsid w:val="004A4211"/>
    <w:rsid w:val="004A4D82"/>
    <w:rsid w:val="004A5919"/>
    <w:rsid w:val="004A5A80"/>
    <w:rsid w:val="004A6244"/>
    <w:rsid w:val="004A6722"/>
    <w:rsid w:val="004A6799"/>
    <w:rsid w:val="004A6DD8"/>
    <w:rsid w:val="004A71AE"/>
    <w:rsid w:val="004A7549"/>
    <w:rsid w:val="004A7996"/>
    <w:rsid w:val="004B08F2"/>
    <w:rsid w:val="004B1471"/>
    <w:rsid w:val="004B1666"/>
    <w:rsid w:val="004B2081"/>
    <w:rsid w:val="004B24EE"/>
    <w:rsid w:val="004B2657"/>
    <w:rsid w:val="004B2F38"/>
    <w:rsid w:val="004B492F"/>
    <w:rsid w:val="004B50FB"/>
    <w:rsid w:val="004B55DF"/>
    <w:rsid w:val="004B56F0"/>
    <w:rsid w:val="004B6B05"/>
    <w:rsid w:val="004B760B"/>
    <w:rsid w:val="004C01F1"/>
    <w:rsid w:val="004C04C5"/>
    <w:rsid w:val="004C10AB"/>
    <w:rsid w:val="004C17EE"/>
    <w:rsid w:val="004C193A"/>
    <w:rsid w:val="004C1F12"/>
    <w:rsid w:val="004C257C"/>
    <w:rsid w:val="004C4EB8"/>
    <w:rsid w:val="004C60EC"/>
    <w:rsid w:val="004C6EE0"/>
    <w:rsid w:val="004C6F6B"/>
    <w:rsid w:val="004C716B"/>
    <w:rsid w:val="004C7194"/>
    <w:rsid w:val="004C720C"/>
    <w:rsid w:val="004C724D"/>
    <w:rsid w:val="004D0CDA"/>
    <w:rsid w:val="004D10C9"/>
    <w:rsid w:val="004D1327"/>
    <w:rsid w:val="004D299B"/>
    <w:rsid w:val="004D36C0"/>
    <w:rsid w:val="004D3CCB"/>
    <w:rsid w:val="004D5B7F"/>
    <w:rsid w:val="004D624D"/>
    <w:rsid w:val="004D6F7D"/>
    <w:rsid w:val="004D759A"/>
    <w:rsid w:val="004E1C82"/>
    <w:rsid w:val="004E22C3"/>
    <w:rsid w:val="004E2515"/>
    <w:rsid w:val="004E2830"/>
    <w:rsid w:val="004E48D8"/>
    <w:rsid w:val="004E5C5F"/>
    <w:rsid w:val="004E5CF5"/>
    <w:rsid w:val="004E5E2E"/>
    <w:rsid w:val="004E610F"/>
    <w:rsid w:val="004E67B2"/>
    <w:rsid w:val="004E7724"/>
    <w:rsid w:val="004E7CC4"/>
    <w:rsid w:val="004F048A"/>
    <w:rsid w:val="004F295D"/>
    <w:rsid w:val="004F3911"/>
    <w:rsid w:val="004F3BDD"/>
    <w:rsid w:val="004F4610"/>
    <w:rsid w:val="004F4B42"/>
    <w:rsid w:val="004F5730"/>
    <w:rsid w:val="004F5981"/>
    <w:rsid w:val="004F7AED"/>
    <w:rsid w:val="00500376"/>
    <w:rsid w:val="00500443"/>
    <w:rsid w:val="0050049D"/>
    <w:rsid w:val="0050068C"/>
    <w:rsid w:val="00501CD7"/>
    <w:rsid w:val="0050207C"/>
    <w:rsid w:val="00502B90"/>
    <w:rsid w:val="0050308B"/>
    <w:rsid w:val="00503286"/>
    <w:rsid w:val="005032CB"/>
    <w:rsid w:val="005037E2"/>
    <w:rsid w:val="00504A10"/>
    <w:rsid w:val="00504B3A"/>
    <w:rsid w:val="00504FD4"/>
    <w:rsid w:val="005060C4"/>
    <w:rsid w:val="00506536"/>
    <w:rsid w:val="00506A16"/>
    <w:rsid w:val="00506EBB"/>
    <w:rsid w:val="00507411"/>
    <w:rsid w:val="00507558"/>
    <w:rsid w:val="00507DE4"/>
    <w:rsid w:val="0051092E"/>
    <w:rsid w:val="00510A0D"/>
    <w:rsid w:val="0051275E"/>
    <w:rsid w:val="00512ADF"/>
    <w:rsid w:val="0051356A"/>
    <w:rsid w:val="00513A3C"/>
    <w:rsid w:val="005152A8"/>
    <w:rsid w:val="0051587D"/>
    <w:rsid w:val="0051596F"/>
    <w:rsid w:val="005163CE"/>
    <w:rsid w:val="005174A4"/>
    <w:rsid w:val="0052095A"/>
    <w:rsid w:val="00520CB3"/>
    <w:rsid w:val="00521EE2"/>
    <w:rsid w:val="00523DCF"/>
    <w:rsid w:val="00523E15"/>
    <w:rsid w:val="005245AF"/>
    <w:rsid w:val="00524FA1"/>
    <w:rsid w:val="005251D2"/>
    <w:rsid w:val="005255B9"/>
    <w:rsid w:val="005257A7"/>
    <w:rsid w:val="0052649A"/>
    <w:rsid w:val="0052676D"/>
    <w:rsid w:val="0052680F"/>
    <w:rsid w:val="005272C2"/>
    <w:rsid w:val="00532421"/>
    <w:rsid w:val="005344DB"/>
    <w:rsid w:val="00534813"/>
    <w:rsid w:val="0053603A"/>
    <w:rsid w:val="00536F09"/>
    <w:rsid w:val="00537C40"/>
    <w:rsid w:val="00540604"/>
    <w:rsid w:val="00540CBF"/>
    <w:rsid w:val="005415E2"/>
    <w:rsid w:val="00541788"/>
    <w:rsid w:val="00541C59"/>
    <w:rsid w:val="005420F2"/>
    <w:rsid w:val="0054255D"/>
    <w:rsid w:val="00542B52"/>
    <w:rsid w:val="00542C3B"/>
    <w:rsid w:val="00542FEE"/>
    <w:rsid w:val="005430BA"/>
    <w:rsid w:val="00543B6E"/>
    <w:rsid w:val="00543BBD"/>
    <w:rsid w:val="00543D03"/>
    <w:rsid w:val="0054519A"/>
    <w:rsid w:val="005451D6"/>
    <w:rsid w:val="0054573F"/>
    <w:rsid w:val="005469B3"/>
    <w:rsid w:val="00546EFA"/>
    <w:rsid w:val="00551390"/>
    <w:rsid w:val="00551DF9"/>
    <w:rsid w:val="00553719"/>
    <w:rsid w:val="00553A72"/>
    <w:rsid w:val="00553C68"/>
    <w:rsid w:val="005546EE"/>
    <w:rsid w:val="00554794"/>
    <w:rsid w:val="00554D61"/>
    <w:rsid w:val="005551B3"/>
    <w:rsid w:val="00555865"/>
    <w:rsid w:val="00555934"/>
    <w:rsid w:val="0055659F"/>
    <w:rsid w:val="00556D28"/>
    <w:rsid w:val="005575E2"/>
    <w:rsid w:val="005600ED"/>
    <w:rsid w:val="0056175C"/>
    <w:rsid w:val="00561B63"/>
    <w:rsid w:val="00561B6B"/>
    <w:rsid w:val="00562046"/>
    <w:rsid w:val="00563848"/>
    <w:rsid w:val="00563E7A"/>
    <w:rsid w:val="00563ED7"/>
    <w:rsid w:val="005653E5"/>
    <w:rsid w:val="0056561B"/>
    <w:rsid w:val="005657A3"/>
    <w:rsid w:val="00565809"/>
    <w:rsid w:val="00565B3C"/>
    <w:rsid w:val="00565D8D"/>
    <w:rsid w:val="00565DD4"/>
    <w:rsid w:val="00565F0F"/>
    <w:rsid w:val="00566368"/>
    <w:rsid w:val="00566470"/>
    <w:rsid w:val="00566976"/>
    <w:rsid w:val="00566BA6"/>
    <w:rsid w:val="00567030"/>
    <w:rsid w:val="00567E16"/>
    <w:rsid w:val="005701D9"/>
    <w:rsid w:val="0057020B"/>
    <w:rsid w:val="005729D1"/>
    <w:rsid w:val="00573165"/>
    <w:rsid w:val="0057448A"/>
    <w:rsid w:val="00574A66"/>
    <w:rsid w:val="00574F74"/>
    <w:rsid w:val="005757EC"/>
    <w:rsid w:val="005761A6"/>
    <w:rsid w:val="00576499"/>
    <w:rsid w:val="00576517"/>
    <w:rsid w:val="0057699B"/>
    <w:rsid w:val="0058130B"/>
    <w:rsid w:val="005813B7"/>
    <w:rsid w:val="00582E97"/>
    <w:rsid w:val="0058338A"/>
    <w:rsid w:val="00583527"/>
    <w:rsid w:val="00583716"/>
    <w:rsid w:val="00584095"/>
    <w:rsid w:val="005848DA"/>
    <w:rsid w:val="00585287"/>
    <w:rsid w:val="00585845"/>
    <w:rsid w:val="0058675D"/>
    <w:rsid w:val="005905F2"/>
    <w:rsid w:val="005915DF"/>
    <w:rsid w:val="00591677"/>
    <w:rsid w:val="005923BB"/>
    <w:rsid w:val="005927E1"/>
    <w:rsid w:val="00593525"/>
    <w:rsid w:val="00593B57"/>
    <w:rsid w:val="00594240"/>
    <w:rsid w:val="0059468C"/>
    <w:rsid w:val="00594BA8"/>
    <w:rsid w:val="00594BE2"/>
    <w:rsid w:val="00594D25"/>
    <w:rsid w:val="00594FDB"/>
    <w:rsid w:val="00595A46"/>
    <w:rsid w:val="00595B5F"/>
    <w:rsid w:val="0059617B"/>
    <w:rsid w:val="00596899"/>
    <w:rsid w:val="00597827"/>
    <w:rsid w:val="005A01CB"/>
    <w:rsid w:val="005A28AF"/>
    <w:rsid w:val="005A6D6A"/>
    <w:rsid w:val="005B0C9C"/>
    <w:rsid w:val="005B2084"/>
    <w:rsid w:val="005B2396"/>
    <w:rsid w:val="005B31A7"/>
    <w:rsid w:val="005B3A24"/>
    <w:rsid w:val="005B3C18"/>
    <w:rsid w:val="005B4497"/>
    <w:rsid w:val="005B5770"/>
    <w:rsid w:val="005B5955"/>
    <w:rsid w:val="005B5F1D"/>
    <w:rsid w:val="005B661E"/>
    <w:rsid w:val="005C0016"/>
    <w:rsid w:val="005C0B6B"/>
    <w:rsid w:val="005C13B2"/>
    <w:rsid w:val="005C2469"/>
    <w:rsid w:val="005C43B1"/>
    <w:rsid w:val="005C43BE"/>
    <w:rsid w:val="005C4438"/>
    <w:rsid w:val="005C46B6"/>
    <w:rsid w:val="005C52FC"/>
    <w:rsid w:val="005C5318"/>
    <w:rsid w:val="005C5597"/>
    <w:rsid w:val="005C5974"/>
    <w:rsid w:val="005C63BD"/>
    <w:rsid w:val="005C6BC0"/>
    <w:rsid w:val="005C7266"/>
    <w:rsid w:val="005C7557"/>
    <w:rsid w:val="005C769E"/>
    <w:rsid w:val="005D00D7"/>
    <w:rsid w:val="005D03AC"/>
    <w:rsid w:val="005D0584"/>
    <w:rsid w:val="005D0DDC"/>
    <w:rsid w:val="005D1134"/>
    <w:rsid w:val="005D1637"/>
    <w:rsid w:val="005D1C95"/>
    <w:rsid w:val="005D21A8"/>
    <w:rsid w:val="005D28D3"/>
    <w:rsid w:val="005D2A8F"/>
    <w:rsid w:val="005D303C"/>
    <w:rsid w:val="005D35AC"/>
    <w:rsid w:val="005D3959"/>
    <w:rsid w:val="005D3F47"/>
    <w:rsid w:val="005D42E7"/>
    <w:rsid w:val="005D4803"/>
    <w:rsid w:val="005D4BC4"/>
    <w:rsid w:val="005D51D7"/>
    <w:rsid w:val="005D5C1B"/>
    <w:rsid w:val="005D5FD5"/>
    <w:rsid w:val="005D701F"/>
    <w:rsid w:val="005D74F7"/>
    <w:rsid w:val="005E055E"/>
    <w:rsid w:val="005E1032"/>
    <w:rsid w:val="005E3026"/>
    <w:rsid w:val="005E4493"/>
    <w:rsid w:val="005E4CBB"/>
    <w:rsid w:val="005E5099"/>
    <w:rsid w:val="005E57EB"/>
    <w:rsid w:val="005E639B"/>
    <w:rsid w:val="005E7FC4"/>
    <w:rsid w:val="005F02F3"/>
    <w:rsid w:val="005F19B1"/>
    <w:rsid w:val="005F1E53"/>
    <w:rsid w:val="005F2123"/>
    <w:rsid w:val="005F35C7"/>
    <w:rsid w:val="005F4004"/>
    <w:rsid w:val="005F4D80"/>
    <w:rsid w:val="005F532B"/>
    <w:rsid w:val="005F56FA"/>
    <w:rsid w:val="005F78C5"/>
    <w:rsid w:val="00600DE7"/>
    <w:rsid w:val="006021E3"/>
    <w:rsid w:val="00602BE3"/>
    <w:rsid w:val="0060353E"/>
    <w:rsid w:val="006036D5"/>
    <w:rsid w:val="00603A6C"/>
    <w:rsid w:val="00603E30"/>
    <w:rsid w:val="00604124"/>
    <w:rsid w:val="006048E6"/>
    <w:rsid w:val="00604CF5"/>
    <w:rsid w:val="0060587B"/>
    <w:rsid w:val="00606A86"/>
    <w:rsid w:val="00606CB2"/>
    <w:rsid w:val="00606F3C"/>
    <w:rsid w:val="00606FA6"/>
    <w:rsid w:val="00606FFB"/>
    <w:rsid w:val="00610D65"/>
    <w:rsid w:val="00611CAE"/>
    <w:rsid w:val="006122A4"/>
    <w:rsid w:val="006131D0"/>
    <w:rsid w:val="0061387D"/>
    <w:rsid w:val="0061494E"/>
    <w:rsid w:val="006149E8"/>
    <w:rsid w:val="006156B4"/>
    <w:rsid w:val="006160BE"/>
    <w:rsid w:val="00616256"/>
    <w:rsid w:val="0061790C"/>
    <w:rsid w:val="00617CE8"/>
    <w:rsid w:val="00617FDC"/>
    <w:rsid w:val="00620B60"/>
    <w:rsid w:val="00622C85"/>
    <w:rsid w:val="006252CE"/>
    <w:rsid w:val="00626813"/>
    <w:rsid w:val="006274D8"/>
    <w:rsid w:val="00627702"/>
    <w:rsid w:val="00627D12"/>
    <w:rsid w:val="00630FEB"/>
    <w:rsid w:val="00632510"/>
    <w:rsid w:val="00632824"/>
    <w:rsid w:val="00632B78"/>
    <w:rsid w:val="00632B8D"/>
    <w:rsid w:val="00632BCF"/>
    <w:rsid w:val="00632E86"/>
    <w:rsid w:val="00633122"/>
    <w:rsid w:val="00633448"/>
    <w:rsid w:val="00633C58"/>
    <w:rsid w:val="00633E48"/>
    <w:rsid w:val="00634291"/>
    <w:rsid w:val="0063440E"/>
    <w:rsid w:val="00634C39"/>
    <w:rsid w:val="006350DD"/>
    <w:rsid w:val="006368B2"/>
    <w:rsid w:val="00637620"/>
    <w:rsid w:val="00637F1F"/>
    <w:rsid w:val="0064208D"/>
    <w:rsid w:val="00642606"/>
    <w:rsid w:val="00642D24"/>
    <w:rsid w:val="0064301E"/>
    <w:rsid w:val="00643EE4"/>
    <w:rsid w:val="00644905"/>
    <w:rsid w:val="00645883"/>
    <w:rsid w:val="00646CBC"/>
    <w:rsid w:val="006474AD"/>
    <w:rsid w:val="00650D07"/>
    <w:rsid w:val="006529E1"/>
    <w:rsid w:val="00653FE8"/>
    <w:rsid w:val="0065525E"/>
    <w:rsid w:val="00655418"/>
    <w:rsid w:val="006557F9"/>
    <w:rsid w:val="006564F8"/>
    <w:rsid w:val="006572D2"/>
    <w:rsid w:val="00657AC7"/>
    <w:rsid w:val="00657D67"/>
    <w:rsid w:val="00657D73"/>
    <w:rsid w:val="00660885"/>
    <w:rsid w:val="00660FDD"/>
    <w:rsid w:val="00661D76"/>
    <w:rsid w:val="00661E98"/>
    <w:rsid w:val="0066272D"/>
    <w:rsid w:val="0066276B"/>
    <w:rsid w:val="00662BAC"/>
    <w:rsid w:val="00663B30"/>
    <w:rsid w:val="0066409B"/>
    <w:rsid w:val="0066446C"/>
    <w:rsid w:val="006657DC"/>
    <w:rsid w:val="00665BD7"/>
    <w:rsid w:val="00665CEE"/>
    <w:rsid w:val="00666AFB"/>
    <w:rsid w:val="00666B5D"/>
    <w:rsid w:val="006670E2"/>
    <w:rsid w:val="0066774F"/>
    <w:rsid w:val="006703BC"/>
    <w:rsid w:val="00670C94"/>
    <w:rsid w:val="00671386"/>
    <w:rsid w:val="00671395"/>
    <w:rsid w:val="00671CDB"/>
    <w:rsid w:val="00671F9B"/>
    <w:rsid w:val="00672D1D"/>
    <w:rsid w:val="006734B1"/>
    <w:rsid w:val="00674539"/>
    <w:rsid w:val="00674AB5"/>
    <w:rsid w:val="006754AE"/>
    <w:rsid w:val="00675C4A"/>
    <w:rsid w:val="006762C9"/>
    <w:rsid w:val="006805D2"/>
    <w:rsid w:val="006812F4"/>
    <w:rsid w:val="00681721"/>
    <w:rsid w:val="0068217D"/>
    <w:rsid w:val="006839F3"/>
    <w:rsid w:val="00683E08"/>
    <w:rsid w:val="00683F77"/>
    <w:rsid w:val="006849D2"/>
    <w:rsid w:val="00685285"/>
    <w:rsid w:val="00685B92"/>
    <w:rsid w:val="0069034C"/>
    <w:rsid w:val="00691881"/>
    <w:rsid w:val="0069263D"/>
    <w:rsid w:val="00694222"/>
    <w:rsid w:val="00694984"/>
    <w:rsid w:val="00694E13"/>
    <w:rsid w:val="006960BD"/>
    <w:rsid w:val="00696BCF"/>
    <w:rsid w:val="00696D77"/>
    <w:rsid w:val="00696FA9"/>
    <w:rsid w:val="006A119F"/>
    <w:rsid w:val="006A11D6"/>
    <w:rsid w:val="006A1AE6"/>
    <w:rsid w:val="006A1ED0"/>
    <w:rsid w:val="006A1EE0"/>
    <w:rsid w:val="006A2288"/>
    <w:rsid w:val="006A33ED"/>
    <w:rsid w:val="006A3BC9"/>
    <w:rsid w:val="006A3D0A"/>
    <w:rsid w:val="006A48A7"/>
    <w:rsid w:val="006A4ED8"/>
    <w:rsid w:val="006A7139"/>
    <w:rsid w:val="006B0E0C"/>
    <w:rsid w:val="006B1356"/>
    <w:rsid w:val="006B1363"/>
    <w:rsid w:val="006B1A94"/>
    <w:rsid w:val="006B1C2C"/>
    <w:rsid w:val="006B2812"/>
    <w:rsid w:val="006B3E98"/>
    <w:rsid w:val="006B4AF2"/>
    <w:rsid w:val="006B5DC2"/>
    <w:rsid w:val="006B6672"/>
    <w:rsid w:val="006B702F"/>
    <w:rsid w:val="006C1A81"/>
    <w:rsid w:val="006C204E"/>
    <w:rsid w:val="006C2101"/>
    <w:rsid w:val="006C22F4"/>
    <w:rsid w:val="006C29D5"/>
    <w:rsid w:val="006C2FE9"/>
    <w:rsid w:val="006C5AF7"/>
    <w:rsid w:val="006C5F25"/>
    <w:rsid w:val="006C62EC"/>
    <w:rsid w:val="006C6A0A"/>
    <w:rsid w:val="006C726F"/>
    <w:rsid w:val="006C7746"/>
    <w:rsid w:val="006D0082"/>
    <w:rsid w:val="006D0298"/>
    <w:rsid w:val="006D120A"/>
    <w:rsid w:val="006D1381"/>
    <w:rsid w:val="006D1C2F"/>
    <w:rsid w:val="006D2947"/>
    <w:rsid w:val="006D36C2"/>
    <w:rsid w:val="006D3CBB"/>
    <w:rsid w:val="006D4655"/>
    <w:rsid w:val="006D471B"/>
    <w:rsid w:val="006D485C"/>
    <w:rsid w:val="006D4DBB"/>
    <w:rsid w:val="006D5EC5"/>
    <w:rsid w:val="006D67B4"/>
    <w:rsid w:val="006D733D"/>
    <w:rsid w:val="006D764E"/>
    <w:rsid w:val="006D7836"/>
    <w:rsid w:val="006E06AB"/>
    <w:rsid w:val="006E0AEF"/>
    <w:rsid w:val="006E0B58"/>
    <w:rsid w:val="006E1232"/>
    <w:rsid w:val="006E1397"/>
    <w:rsid w:val="006E15F6"/>
    <w:rsid w:val="006E1800"/>
    <w:rsid w:val="006E2536"/>
    <w:rsid w:val="006E306A"/>
    <w:rsid w:val="006E31A3"/>
    <w:rsid w:val="006E42EF"/>
    <w:rsid w:val="006E495B"/>
    <w:rsid w:val="006E4ABD"/>
    <w:rsid w:val="006E534D"/>
    <w:rsid w:val="006E565B"/>
    <w:rsid w:val="006E59CB"/>
    <w:rsid w:val="006E5ABF"/>
    <w:rsid w:val="006E62FE"/>
    <w:rsid w:val="006E6EC9"/>
    <w:rsid w:val="006E712A"/>
    <w:rsid w:val="006E765E"/>
    <w:rsid w:val="006E77BA"/>
    <w:rsid w:val="006E786F"/>
    <w:rsid w:val="006F05A7"/>
    <w:rsid w:val="006F1ADE"/>
    <w:rsid w:val="006F1DAC"/>
    <w:rsid w:val="006F202A"/>
    <w:rsid w:val="006F2703"/>
    <w:rsid w:val="006F2F29"/>
    <w:rsid w:val="006F3101"/>
    <w:rsid w:val="006F38C7"/>
    <w:rsid w:val="006F3A22"/>
    <w:rsid w:val="006F40BC"/>
    <w:rsid w:val="006F45AB"/>
    <w:rsid w:val="006F494F"/>
    <w:rsid w:val="006F4D72"/>
    <w:rsid w:val="006F6E51"/>
    <w:rsid w:val="00700083"/>
    <w:rsid w:val="00700095"/>
    <w:rsid w:val="00700B3E"/>
    <w:rsid w:val="00700F09"/>
    <w:rsid w:val="007012D1"/>
    <w:rsid w:val="00701D2E"/>
    <w:rsid w:val="00701F30"/>
    <w:rsid w:val="007021B4"/>
    <w:rsid w:val="00702991"/>
    <w:rsid w:val="00702E69"/>
    <w:rsid w:val="0070337C"/>
    <w:rsid w:val="007034EB"/>
    <w:rsid w:val="00703ED6"/>
    <w:rsid w:val="00704B9E"/>
    <w:rsid w:val="00704BF7"/>
    <w:rsid w:val="00704F70"/>
    <w:rsid w:val="007051AE"/>
    <w:rsid w:val="007056F8"/>
    <w:rsid w:val="007058CE"/>
    <w:rsid w:val="007058E9"/>
    <w:rsid w:val="00705C5F"/>
    <w:rsid w:val="007067DE"/>
    <w:rsid w:val="007071F4"/>
    <w:rsid w:val="00707A84"/>
    <w:rsid w:val="007104FB"/>
    <w:rsid w:val="0071080B"/>
    <w:rsid w:val="007108BC"/>
    <w:rsid w:val="00711299"/>
    <w:rsid w:val="007115EA"/>
    <w:rsid w:val="00711A57"/>
    <w:rsid w:val="00711C9F"/>
    <w:rsid w:val="007131D1"/>
    <w:rsid w:val="007138AF"/>
    <w:rsid w:val="00713ACE"/>
    <w:rsid w:val="00714155"/>
    <w:rsid w:val="00714628"/>
    <w:rsid w:val="00715A49"/>
    <w:rsid w:val="0071675C"/>
    <w:rsid w:val="0071761C"/>
    <w:rsid w:val="00717C5E"/>
    <w:rsid w:val="00717E68"/>
    <w:rsid w:val="00720A27"/>
    <w:rsid w:val="00720AF0"/>
    <w:rsid w:val="007217DA"/>
    <w:rsid w:val="00722402"/>
    <w:rsid w:val="00722AD3"/>
    <w:rsid w:val="00722D6D"/>
    <w:rsid w:val="00723207"/>
    <w:rsid w:val="00724484"/>
    <w:rsid w:val="00724A02"/>
    <w:rsid w:val="00724B3F"/>
    <w:rsid w:val="00725321"/>
    <w:rsid w:val="0072569C"/>
    <w:rsid w:val="00725ADD"/>
    <w:rsid w:val="00725B7B"/>
    <w:rsid w:val="00726BCA"/>
    <w:rsid w:val="00726EBB"/>
    <w:rsid w:val="007270ED"/>
    <w:rsid w:val="00727649"/>
    <w:rsid w:val="00727CFC"/>
    <w:rsid w:val="00730404"/>
    <w:rsid w:val="0073073E"/>
    <w:rsid w:val="00730B31"/>
    <w:rsid w:val="00732335"/>
    <w:rsid w:val="00732D7F"/>
    <w:rsid w:val="007333F8"/>
    <w:rsid w:val="00733406"/>
    <w:rsid w:val="00734924"/>
    <w:rsid w:val="00734C4A"/>
    <w:rsid w:val="007355EE"/>
    <w:rsid w:val="007359FC"/>
    <w:rsid w:val="00736350"/>
    <w:rsid w:val="0073686E"/>
    <w:rsid w:val="0073778F"/>
    <w:rsid w:val="00737CBF"/>
    <w:rsid w:val="00740832"/>
    <w:rsid w:val="00740C8C"/>
    <w:rsid w:val="007410FD"/>
    <w:rsid w:val="0074382A"/>
    <w:rsid w:val="00743F58"/>
    <w:rsid w:val="007447B6"/>
    <w:rsid w:val="00744DDF"/>
    <w:rsid w:val="00745694"/>
    <w:rsid w:val="0074593F"/>
    <w:rsid w:val="00745D9F"/>
    <w:rsid w:val="0074609D"/>
    <w:rsid w:val="007464B9"/>
    <w:rsid w:val="00746535"/>
    <w:rsid w:val="007467E2"/>
    <w:rsid w:val="007468F1"/>
    <w:rsid w:val="00746ABA"/>
    <w:rsid w:val="00746B0E"/>
    <w:rsid w:val="0074701E"/>
    <w:rsid w:val="00747143"/>
    <w:rsid w:val="0075070B"/>
    <w:rsid w:val="00750B17"/>
    <w:rsid w:val="007515ED"/>
    <w:rsid w:val="00753D6E"/>
    <w:rsid w:val="0075552D"/>
    <w:rsid w:val="007556E1"/>
    <w:rsid w:val="00755A48"/>
    <w:rsid w:val="00755C8F"/>
    <w:rsid w:val="007562A4"/>
    <w:rsid w:val="007565C0"/>
    <w:rsid w:val="007611B1"/>
    <w:rsid w:val="007611F3"/>
    <w:rsid w:val="0076140C"/>
    <w:rsid w:val="00761427"/>
    <w:rsid w:val="00761545"/>
    <w:rsid w:val="00762059"/>
    <w:rsid w:val="007625C7"/>
    <w:rsid w:val="00762D76"/>
    <w:rsid w:val="00763E17"/>
    <w:rsid w:val="007646B2"/>
    <w:rsid w:val="0076488F"/>
    <w:rsid w:val="00765004"/>
    <w:rsid w:val="00766310"/>
    <w:rsid w:val="00771FE9"/>
    <w:rsid w:val="00772268"/>
    <w:rsid w:val="007741DF"/>
    <w:rsid w:val="00775501"/>
    <w:rsid w:val="00777403"/>
    <w:rsid w:val="007778A2"/>
    <w:rsid w:val="00781481"/>
    <w:rsid w:val="00781C0C"/>
    <w:rsid w:val="00781F08"/>
    <w:rsid w:val="00782900"/>
    <w:rsid w:val="00782C10"/>
    <w:rsid w:val="00783428"/>
    <w:rsid w:val="00783A8A"/>
    <w:rsid w:val="007841D5"/>
    <w:rsid w:val="00784D90"/>
    <w:rsid w:val="00785284"/>
    <w:rsid w:val="0078595E"/>
    <w:rsid w:val="00785AEA"/>
    <w:rsid w:val="00786ED0"/>
    <w:rsid w:val="00786F26"/>
    <w:rsid w:val="00786F5B"/>
    <w:rsid w:val="00787455"/>
    <w:rsid w:val="00787948"/>
    <w:rsid w:val="00787A21"/>
    <w:rsid w:val="0079004C"/>
    <w:rsid w:val="00791AAB"/>
    <w:rsid w:val="0079235D"/>
    <w:rsid w:val="007932F8"/>
    <w:rsid w:val="00793397"/>
    <w:rsid w:val="00793408"/>
    <w:rsid w:val="00793A16"/>
    <w:rsid w:val="00794097"/>
    <w:rsid w:val="0079540A"/>
    <w:rsid w:val="00795657"/>
    <w:rsid w:val="00795754"/>
    <w:rsid w:val="007A00BD"/>
    <w:rsid w:val="007A052C"/>
    <w:rsid w:val="007A146A"/>
    <w:rsid w:val="007A2152"/>
    <w:rsid w:val="007A2558"/>
    <w:rsid w:val="007A2876"/>
    <w:rsid w:val="007A3195"/>
    <w:rsid w:val="007A3F65"/>
    <w:rsid w:val="007A5DB0"/>
    <w:rsid w:val="007A5E30"/>
    <w:rsid w:val="007A684A"/>
    <w:rsid w:val="007A697D"/>
    <w:rsid w:val="007A6BF6"/>
    <w:rsid w:val="007A6D1F"/>
    <w:rsid w:val="007A784C"/>
    <w:rsid w:val="007A7893"/>
    <w:rsid w:val="007A7B37"/>
    <w:rsid w:val="007B00A2"/>
    <w:rsid w:val="007B00C6"/>
    <w:rsid w:val="007B02C3"/>
    <w:rsid w:val="007B04AF"/>
    <w:rsid w:val="007B1001"/>
    <w:rsid w:val="007B1E1D"/>
    <w:rsid w:val="007B24F7"/>
    <w:rsid w:val="007B322B"/>
    <w:rsid w:val="007B3511"/>
    <w:rsid w:val="007B4365"/>
    <w:rsid w:val="007B613E"/>
    <w:rsid w:val="007B64A6"/>
    <w:rsid w:val="007B66F5"/>
    <w:rsid w:val="007B6935"/>
    <w:rsid w:val="007B6D04"/>
    <w:rsid w:val="007B6FE2"/>
    <w:rsid w:val="007B72DE"/>
    <w:rsid w:val="007B737A"/>
    <w:rsid w:val="007B779A"/>
    <w:rsid w:val="007B78E3"/>
    <w:rsid w:val="007B79CB"/>
    <w:rsid w:val="007B79E2"/>
    <w:rsid w:val="007B7E06"/>
    <w:rsid w:val="007C0283"/>
    <w:rsid w:val="007C1703"/>
    <w:rsid w:val="007C17B3"/>
    <w:rsid w:val="007C1E5C"/>
    <w:rsid w:val="007C279D"/>
    <w:rsid w:val="007C2960"/>
    <w:rsid w:val="007C41FC"/>
    <w:rsid w:val="007C557D"/>
    <w:rsid w:val="007C56B8"/>
    <w:rsid w:val="007C60DA"/>
    <w:rsid w:val="007C7C9C"/>
    <w:rsid w:val="007D1066"/>
    <w:rsid w:val="007D10DB"/>
    <w:rsid w:val="007D1BB7"/>
    <w:rsid w:val="007D2DFB"/>
    <w:rsid w:val="007D3073"/>
    <w:rsid w:val="007D3171"/>
    <w:rsid w:val="007D321D"/>
    <w:rsid w:val="007D32A0"/>
    <w:rsid w:val="007D41CB"/>
    <w:rsid w:val="007D503F"/>
    <w:rsid w:val="007D51BD"/>
    <w:rsid w:val="007D583E"/>
    <w:rsid w:val="007D6638"/>
    <w:rsid w:val="007D6A2A"/>
    <w:rsid w:val="007D71EE"/>
    <w:rsid w:val="007E09C9"/>
    <w:rsid w:val="007E13DB"/>
    <w:rsid w:val="007E1B74"/>
    <w:rsid w:val="007E1FFC"/>
    <w:rsid w:val="007E2512"/>
    <w:rsid w:val="007E2DBE"/>
    <w:rsid w:val="007E3A22"/>
    <w:rsid w:val="007E3A7F"/>
    <w:rsid w:val="007E55DE"/>
    <w:rsid w:val="007E596F"/>
    <w:rsid w:val="007E59B4"/>
    <w:rsid w:val="007E5F20"/>
    <w:rsid w:val="007E66A3"/>
    <w:rsid w:val="007E6DF0"/>
    <w:rsid w:val="007E75F4"/>
    <w:rsid w:val="007F0FDF"/>
    <w:rsid w:val="007F305D"/>
    <w:rsid w:val="007F309F"/>
    <w:rsid w:val="007F37D8"/>
    <w:rsid w:val="007F3987"/>
    <w:rsid w:val="007F3A38"/>
    <w:rsid w:val="007F442C"/>
    <w:rsid w:val="007F458D"/>
    <w:rsid w:val="007F5C58"/>
    <w:rsid w:val="007F6C25"/>
    <w:rsid w:val="007F6C66"/>
    <w:rsid w:val="007F6E9C"/>
    <w:rsid w:val="007F6EF6"/>
    <w:rsid w:val="007F7D9E"/>
    <w:rsid w:val="008007E9"/>
    <w:rsid w:val="00800831"/>
    <w:rsid w:val="008018A5"/>
    <w:rsid w:val="00803455"/>
    <w:rsid w:val="00803B87"/>
    <w:rsid w:val="00804148"/>
    <w:rsid w:val="0080445F"/>
    <w:rsid w:val="00805490"/>
    <w:rsid w:val="0080599F"/>
    <w:rsid w:val="00805C71"/>
    <w:rsid w:val="00805EB3"/>
    <w:rsid w:val="00806294"/>
    <w:rsid w:val="00806F9E"/>
    <w:rsid w:val="00807281"/>
    <w:rsid w:val="00807B78"/>
    <w:rsid w:val="008101FA"/>
    <w:rsid w:val="00810B7F"/>
    <w:rsid w:val="0081291A"/>
    <w:rsid w:val="00812D4A"/>
    <w:rsid w:val="00812D90"/>
    <w:rsid w:val="00813DE7"/>
    <w:rsid w:val="0081423A"/>
    <w:rsid w:val="00814747"/>
    <w:rsid w:val="008150A5"/>
    <w:rsid w:val="00815B70"/>
    <w:rsid w:val="00815BEA"/>
    <w:rsid w:val="00815CB3"/>
    <w:rsid w:val="00816809"/>
    <w:rsid w:val="0081686F"/>
    <w:rsid w:val="00817082"/>
    <w:rsid w:val="00820E23"/>
    <w:rsid w:val="00821631"/>
    <w:rsid w:val="008235C9"/>
    <w:rsid w:val="00823A11"/>
    <w:rsid w:val="00823E23"/>
    <w:rsid w:val="00824337"/>
    <w:rsid w:val="0082573C"/>
    <w:rsid w:val="00825B3C"/>
    <w:rsid w:val="0082676D"/>
    <w:rsid w:val="0082725A"/>
    <w:rsid w:val="00830787"/>
    <w:rsid w:val="00830AEA"/>
    <w:rsid w:val="00831B80"/>
    <w:rsid w:val="008320C7"/>
    <w:rsid w:val="00832FD1"/>
    <w:rsid w:val="00833472"/>
    <w:rsid w:val="00834DF2"/>
    <w:rsid w:val="008353E0"/>
    <w:rsid w:val="00835B70"/>
    <w:rsid w:val="00836027"/>
    <w:rsid w:val="0083627D"/>
    <w:rsid w:val="00836DAB"/>
    <w:rsid w:val="008373FF"/>
    <w:rsid w:val="00837B9C"/>
    <w:rsid w:val="00837CEB"/>
    <w:rsid w:val="008403C9"/>
    <w:rsid w:val="008405BE"/>
    <w:rsid w:val="00840FEA"/>
    <w:rsid w:val="00841353"/>
    <w:rsid w:val="00841D92"/>
    <w:rsid w:val="00842018"/>
    <w:rsid w:val="00842B97"/>
    <w:rsid w:val="00842E69"/>
    <w:rsid w:val="008437CE"/>
    <w:rsid w:val="00843A33"/>
    <w:rsid w:val="00844541"/>
    <w:rsid w:val="008448BA"/>
    <w:rsid w:val="008459E6"/>
    <w:rsid w:val="00845E53"/>
    <w:rsid w:val="008460B1"/>
    <w:rsid w:val="008462EA"/>
    <w:rsid w:val="00846481"/>
    <w:rsid w:val="0084769E"/>
    <w:rsid w:val="00847F78"/>
    <w:rsid w:val="0085031A"/>
    <w:rsid w:val="008505DD"/>
    <w:rsid w:val="008509F8"/>
    <w:rsid w:val="00850DB8"/>
    <w:rsid w:val="008513A8"/>
    <w:rsid w:val="0085192D"/>
    <w:rsid w:val="00851B56"/>
    <w:rsid w:val="00852379"/>
    <w:rsid w:val="008527E6"/>
    <w:rsid w:val="008537ED"/>
    <w:rsid w:val="00855614"/>
    <w:rsid w:val="008556A1"/>
    <w:rsid w:val="00855B74"/>
    <w:rsid w:val="008564D5"/>
    <w:rsid w:val="00856EC6"/>
    <w:rsid w:val="008571A5"/>
    <w:rsid w:val="00857484"/>
    <w:rsid w:val="00857DC2"/>
    <w:rsid w:val="00857E3A"/>
    <w:rsid w:val="00860D9F"/>
    <w:rsid w:val="00860DFC"/>
    <w:rsid w:val="008617AF"/>
    <w:rsid w:val="0086256E"/>
    <w:rsid w:val="008654DF"/>
    <w:rsid w:val="008669E8"/>
    <w:rsid w:val="00866C96"/>
    <w:rsid w:val="0086706D"/>
    <w:rsid w:val="00867273"/>
    <w:rsid w:val="0087037B"/>
    <w:rsid w:val="0087105C"/>
    <w:rsid w:val="008711D3"/>
    <w:rsid w:val="0087184F"/>
    <w:rsid w:val="00871E26"/>
    <w:rsid w:val="0087289C"/>
    <w:rsid w:val="008740F5"/>
    <w:rsid w:val="0087507B"/>
    <w:rsid w:val="0087563C"/>
    <w:rsid w:val="00875CDE"/>
    <w:rsid w:val="00875D9A"/>
    <w:rsid w:val="0087613F"/>
    <w:rsid w:val="008762F5"/>
    <w:rsid w:val="008773D9"/>
    <w:rsid w:val="00881215"/>
    <w:rsid w:val="00881A1A"/>
    <w:rsid w:val="0088204B"/>
    <w:rsid w:val="008821AD"/>
    <w:rsid w:val="00882931"/>
    <w:rsid w:val="00883583"/>
    <w:rsid w:val="00883614"/>
    <w:rsid w:val="00883708"/>
    <w:rsid w:val="00883EFD"/>
    <w:rsid w:val="00884AA8"/>
    <w:rsid w:val="00885950"/>
    <w:rsid w:val="0088707B"/>
    <w:rsid w:val="0088713C"/>
    <w:rsid w:val="00887B20"/>
    <w:rsid w:val="00890C38"/>
    <w:rsid w:val="008920C3"/>
    <w:rsid w:val="00892410"/>
    <w:rsid w:val="00892555"/>
    <w:rsid w:val="00892A36"/>
    <w:rsid w:val="0089589D"/>
    <w:rsid w:val="00895901"/>
    <w:rsid w:val="00896B8C"/>
    <w:rsid w:val="00896C0C"/>
    <w:rsid w:val="00896E5A"/>
    <w:rsid w:val="008974D4"/>
    <w:rsid w:val="008976E1"/>
    <w:rsid w:val="008A0179"/>
    <w:rsid w:val="008A0D42"/>
    <w:rsid w:val="008A1A55"/>
    <w:rsid w:val="008A32A8"/>
    <w:rsid w:val="008A38DD"/>
    <w:rsid w:val="008A4299"/>
    <w:rsid w:val="008A4A97"/>
    <w:rsid w:val="008A4C6C"/>
    <w:rsid w:val="008A607C"/>
    <w:rsid w:val="008A7E48"/>
    <w:rsid w:val="008B0EDB"/>
    <w:rsid w:val="008B13D1"/>
    <w:rsid w:val="008B14D2"/>
    <w:rsid w:val="008B2264"/>
    <w:rsid w:val="008B358C"/>
    <w:rsid w:val="008B4772"/>
    <w:rsid w:val="008B4A4A"/>
    <w:rsid w:val="008B5307"/>
    <w:rsid w:val="008B57E4"/>
    <w:rsid w:val="008B5F33"/>
    <w:rsid w:val="008B6116"/>
    <w:rsid w:val="008B73AF"/>
    <w:rsid w:val="008B749C"/>
    <w:rsid w:val="008B784C"/>
    <w:rsid w:val="008B7A92"/>
    <w:rsid w:val="008C1F5C"/>
    <w:rsid w:val="008C21D1"/>
    <w:rsid w:val="008C2266"/>
    <w:rsid w:val="008C2FB6"/>
    <w:rsid w:val="008C356F"/>
    <w:rsid w:val="008C3888"/>
    <w:rsid w:val="008C3AD2"/>
    <w:rsid w:val="008C5857"/>
    <w:rsid w:val="008C789D"/>
    <w:rsid w:val="008C7B74"/>
    <w:rsid w:val="008D0493"/>
    <w:rsid w:val="008D23B6"/>
    <w:rsid w:val="008D3734"/>
    <w:rsid w:val="008D4735"/>
    <w:rsid w:val="008D5987"/>
    <w:rsid w:val="008D5A0E"/>
    <w:rsid w:val="008D6C20"/>
    <w:rsid w:val="008D78AA"/>
    <w:rsid w:val="008E0AB2"/>
    <w:rsid w:val="008E0EE9"/>
    <w:rsid w:val="008E15F8"/>
    <w:rsid w:val="008E1813"/>
    <w:rsid w:val="008E1BF9"/>
    <w:rsid w:val="008E2217"/>
    <w:rsid w:val="008E24A6"/>
    <w:rsid w:val="008E2B69"/>
    <w:rsid w:val="008E2DD8"/>
    <w:rsid w:val="008E3790"/>
    <w:rsid w:val="008E3BF1"/>
    <w:rsid w:val="008E3E17"/>
    <w:rsid w:val="008E4403"/>
    <w:rsid w:val="008E48A1"/>
    <w:rsid w:val="008E4D87"/>
    <w:rsid w:val="008E73D6"/>
    <w:rsid w:val="008E788E"/>
    <w:rsid w:val="008E7BFC"/>
    <w:rsid w:val="008F0C5C"/>
    <w:rsid w:val="008F1417"/>
    <w:rsid w:val="008F14C9"/>
    <w:rsid w:val="008F183C"/>
    <w:rsid w:val="008F2460"/>
    <w:rsid w:val="008F3B74"/>
    <w:rsid w:val="008F4453"/>
    <w:rsid w:val="008F49AB"/>
    <w:rsid w:val="008F53FA"/>
    <w:rsid w:val="008F5798"/>
    <w:rsid w:val="008F5BE4"/>
    <w:rsid w:val="008F5FBC"/>
    <w:rsid w:val="008F6327"/>
    <w:rsid w:val="008F7385"/>
    <w:rsid w:val="008F74FA"/>
    <w:rsid w:val="0090039D"/>
    <w:rsid w:val="00901056"/>
    <w:rsid w:val="00901695"/>
    <w:rsid w:val="0090184E"/>
    <w:rsid w:val="00901D47"/>
    <w:rsid w:val="00902540"/>
    <w:rsid w:val="00902B8A"/>
    <w:rsid w:val="0090305B"/>
    <w:rsid w:val="00903113"/>
    <w:rsid w:val="00903303"/>
    <w:rsid w:val="0090750F"/>
    <w:rsid w:val="009100FF"/>
    <w:rsid w:val="009111CA"/>
    <w:rsid w:val="009126C3"/>
    <w:rsid w:val="00912863"/>
    <w:rsid w:val="009131C4"/>
    <w:rsid w:val="00913A0D"/>
    <w:rsid w:val="00914E5E"/>
    <w:rsid w:val="00915F31"/>
    <w:rsid w:val="009160D9"/>
    <w:rsid w:val="009165CC"/>
    <w:rsid w:val="009166D3"/>
    <w:rsid w:val="00916FCA"/>
    <w:rsid w:val="009174E9"/>
    <w:rsid w:val="00917776"/>
    <w:rsid w:val="009203D3"/>
    <w:rsid w:val="009212BC"/>
    <w:rsid w:val="0092145E"/>
    <w:rsid w:val="00921949"/>
    <w:rsid w:val="00922D5D"/>
    <w:rsid w:val="00923398"/>
    <w:rsid w:val="00923AD0"/>
    <w:rsid w:val="00924E80"/>
    <w:rsid w:val="009252C3"/>
    <w:rsid w:val="00925F77"/>
    <w:rsid w:val="0092649B"/>
    <w:rsid w:val="009270CD"/>
    <w:rsid w:val="009301AD"/>
    <w:rsid w:val="00930DD6"/>
    <w:rsid w:val="009318E3"/>
    <w:rsid w:val="009328F7"/>
    <w:rsid w:val="00932B8E"/>
    <w:rsid w:val="00932F1F"/>
    <w:rsid w:val="00932F85"/>
    <w:rsid w:val="00933221"/>
    <w:rsid w:val="00933F9C"/>
    <w:rsid w:val="009346B6"/>
    <w:rsid w:val="0093486B"/>
    <w:rsid w:val="00934C68"/>
    <w:rsid w:val="00934D80"/>
    <w:rsid w:val="00935117"/>
    <w:rsid w:val="009360E0"/>
    <w:rsid w:val="00936124"/>
    <w:rsid w:val="00936564"/>
    <w:rsid w:val="00936647"/>
    <w:rsid w:val="0093684A"/>
    <w:rsid w:val="00937261"/>
    <w:rsid w:val="00937D3D"/>
    <w:rsid w:val="00940032"/>
    <w:rsid w:val="0094025C"/>
    <w:rsid w:val="00940340"/>
    <w:rsid w:val="0094127A"/>
    <w:rsid w:val="00941B68"/>
    <w:rsid w:val="00941EF0"/>
    <w:rsid w:val="00942058"/>
    <w:rsid w:val="00942BB2"/>
    <w:rsid w:val="00942E46"/>
    <w:rsid w:val="0094337D"/>
    <w:rsid w:val="00943773"/>
    <w:rsid w:val="00944412"/>
    <w:rsid w:val="009447F6"/>
    <w:rsid w:val="00944E29"/>
    <w:rsid w:val="00944ED4"/>
    <w:rsid w:val="00945DB6"/>
    <w:rsid w:val="00946D71"/>
    <w:rsid w:val="00947287"/>
    <w:rsid w:val="00947B7E"/>
    <w:rsid w:val="00951051"/>
    <w:rsid w:val="0095124D"/>
    <w:rsid w:val="00951A21"/>
    <w:rsid w:val="00951F72"/>
    <w:rsid w:val="009522CE"/>
    <w:rsid w:val="00952641"/>
    <w:rsid w:val="0095274D"/>
    <w:rsid w:val="00952792"/>
    <w:rsid w:val="009542C8"/>
    <w:rsid w:val="0095486F"/>
    <w:rsid w:val="00955064"/>
    <w:rsid w:val="00955D74"/>
    <w:rsid w:val="00956D39"/>
    <w:rsid w:val="00957A6A"/>
    <w:rsid w:val="00957DC7"/>
    <w:rsid w:val="00961AE6"/>
    <w:rsid w:val="009621EC"/>
    <w:rsid w:val="00962883"/>
    <w:rsid w:val="00963D34"/>
    <w:rsid w:val="0096460F"/>
    <w:rsid w:val="0096481E"/>
    <w:rsid w:val="00964AF1"/>
    <w:rsid w:val="00965082"/>
    <w:rsid w:val="00965E87"/>
    <w:rsid w:val="0096639C"/>
    <w:rsid w:val="0096681C"/>
    <w:rsid w:val="00966B43"/>
    <w:rsid w:val="00966C7B"/>
    <w:rsid w:val="009675B9"/>
    <w:rsid w:val="009679A9"/>
    <w:rsid w:val="00967C5E"/>
    <w:rsid w:val="00970B1B"/>
    <w:rsid w:val="00970B8E"/>
    <w:rsid w:val="00971F8E"/>
    <w:rsid w:val="009721A1"/>
    <w:rsid w:val="009723F3"/>
    <w:rsid w:val="009725E2"/>
    <w:rsid w:val="0097593D"/>
    <w:rsid w:val="00975C33"/>
    <w:rsid w:val="009761AF"/>
    <w:rsid w:val="009761D3"/>
    <w:rsid w:val="00976CAB"/>
    <w:rsid w:val="00976EA2"/>
    <w:rsid w:val="009775E4"/>
    <w:rsid w:val="00977A4D"/>
    <w:rsid w:val="00980208"/>
    <w:rsid w:val="009804D3"/>
    <w:rsid w:val="0098135A"/>
    <w:rsid w:val="00981C48"/>
    <w:rsid w:val="0098209B"/>
    <w:rsid w:val="00983622"/>
    <w:rsid w:val="0098375F"/>
    <w:rsid w:val="009837DC"/>
    <w:rsid w:val="009838E0"/>
    <w:rsid w:val="00984213"/>
    <w:rsid w:val="00984C2E"/>
    <w:rsid w:val="0098558C"/>
    <w:rsid w:val="009857A9"/>
    <w:rsid w:val="009857CC"/>
    <w:rsid w:val="00985AFD"/>
    <w:rsid w:val="00985FBE"/>
    <w:rsid w:val="0098653F"/>
    <w:rsid w:val="0098655F"/>
    <w:rsid w:val="0098663B"/>
    <w:rsid w:val="009867A5"/>
    <w:rsid w:val="009868C1"/>
    <w:rsid w:val="00986EEC"/>
    <w:rsid w:val="009909BF"/>
    <w:rsid w:val="009916A6"/>
    <w:rsid w:val="00991903"/>
    <w:rsid w:val="00993E67"/>
    <w:rsid w:val="00994513"/>
    <w:rsid w:val="0099465F"/>
    <w:rsid w:val="00995074"/>
    <w:rsid w:val="009956A6"/>
    <w:rsid w:val="00995B43"/>
    <w:rsid w:val="009963A5"/>
    <w:rsid w:val="0099653F"/>
    <w:rsid w:val="009966F1"/>
    <w:rsid w:val="00997005"/>
    <w:rsid w:val="009A1819"/>
    <w:rsid w:val="009A193B"/>
    <w:rsid w:val="009A1ED6"/>
    <w:rsid w:val="009A1FE1"/>
    <w:rsid w:val="009A2203"/>
    <w:rsid w:val="009A229E"/>
    <w:rsid w:val="009A267E"/>
    <w:rsid w:val="009A5CAC"/>
    <w:rsid w:val="009A68CF"/>
    <w:rsid w:val="009A7599"/>
    <w:rsid w:val="009A75E6"/>
    <w:rsid w:val="009A7CFA"/>
    <w:rsid w:val="009B0022"/>
    <w:rsid w:val="009B0E61"/>
    <w:rsid w:val="009B3450"/>
    <w:rsid w:val="009B3FA1"/>
    <w:rsid w:val="009B44C5"/>
    <w:rsid w:val="009B51D7"/>
    <w:rsid w:val="009B52EE"/>
    <w:rsid w:val="009B5609"/>
    <w:rsid w:val="009B5CF7"/>
    <w:rsid w:val="009B6215"/>
    <w:rsid w:val="009B6534"/>
    <w:rsid w:val="009B6B2B"/>
    <w:rsid w:val="009B6F1D"/>
    <w:rsid w:val="009C0597"/>
    <w:rsid w:val="009C12E2"/>
    <w:rsid w:val="009C3207"/>
    <w:rsid w:val="009C4229"/>
    <w:rsid w:val="009C46F8"/>
    <w:rsid w:val="009C5028"/>
    <w:rsid w:val="009C52E6"/>
    <w:rsid w:val="009C5BE7"/>
    <w:rsid w:val="009C62C6"/>
    <w:rsid w:val="009C648F"/>
    <w:rsid w:val="009C6503"/>
    <w:rsid w:val="009C6A9C"/>
    <w:rsid w:val="009C755B"/>
    <w:rsid w:val="009C7FF9"/>
    <w:rsid w:val="009D0248"/>
    <w:rsid w:val="009D03B1"/>
    <w:rsid w:val="009D04C4"/>
    <w:rsid w:val="009D078F"/>
    <w:rsid w:val="009D0A79"/>
    <w:rsid w:val="009D19C0"/>
    <w:rsid w:val="009D1E44"/>
    <w:rsid w:val="009D21AE"/>
    <w:rsid w:val="009D27F4"/>
    <w:rsid w:val="009D2ECE"/>
    <w:rsid w:val="009D322E"/>
    <w:rsid w:val="009D3364"/>
    <w:rsid w:val="009D3489"/>
    <w:rsid w:val="009D3CCA"/>
    <w:rsid w:val="009D4531"/>
    <w:rsid w:val="009D467D"/>
    <w:rsid w:val="009D5278"/>
    <w:rsid w:val="009D52B2"/>
    <w:rsid w:val="009D59CC"/>
    <w:rsid w:val="009D6B95"/>
    <w:rsid w:val="009D6E12"/>
    <w:rsid w:val="009D7639"/>
    <w:rsid w:val="009D7C84"/>
    <w:rsid w:val="009D7E60"/>
    <w:rsid w:val="009E0231"/>
    <w:rsid w:val="009E06CD"/>
    <w:rsid w:val="009E09EA"/>
    <w:rsid w:val="009E186D"/>
    <w:rsid w:val="009E289D"/>
    <w:rsid w:val="009E2CD8"/>
    <w:rsid w:val="009E2F82"/>
    <w:rsid w:val="009E35F1"/>
    <w:rsid w:val="009E3E18"/>
    <w:rsid w:val="009E3F98"/>
    <w:rsid w:val="009E41AA"/>
    <w:rsid w:val="009E4C7A"/>
    <w:rsid w:val="009E4EFD"/>
    <w:rsid w:val="009E5171"/>
    <w:rsid w:val="009E5237"/>
    <w:rsid w:val="009E5340"/>
    <w:rsid w:val="009E550F"/>
    <w:rsid w:val="009E5CEE"/>
    <w:rsid w:val="009E5DE6"/>
    <w:rsid w:val="009E6142"/>
    <w:rsid w:val="009E74AD"/>
    <w:rsid w:val="009E7669"/>
    <w:rsid w:val="009F0B4F"/>
    <w:rsid w:val="009F1389"/>
    <w:rsid w:val="009F1F99"/>
    <w:rsid w:val="009F24F4"/>
    <w:rsid w:val="009F2726"/>
    <w:rsid w:val="009F333E"/>
    <w:rsid w:val="009F4343"/>
    <w:rsid w:val="009F5B58"/>
    <w:rsid w:val="009F60BC"/>
    <w:rsid w:val="009F617B"/>
    <w:rsid w:val="009F6FC1"/>
    <w:rsid w:val="009F7216"/>
    <w:rsid w:val="009F745F"/>
    <w:rsid w:val="009F7941"/>
    <w:rsid w:val="00A00472"/>
    <w:rsid w:val="00A007DF"/>
    <w:rsid w:val="00A008D7"/>
    <w:rsid w:val="00A009B2"/>
    <w:rsid w:val="00A010D0"/>
    <w:rsid w:val="00A01AF1"/>
    <w:rsid w:val="00A02452"/>
    <w:rsid w:val="00A02606"/>
    <w:rsid w:val="00A03A72"/>
    <w:rsid w:val="00A03B93"/>
    <w:rsid w:val="00A04032"/>
    <w:rsid w:val="00A050E2"/>
    <w:rsid w:val="00A06066"/>
    <w:rsid w:val="00A06BF3"/>
    <w:rsid w:val="00A0769D"/>
    <w:rsid w:val="00A101FD"/>
    <w:rsid w:val="00A10A76"/>
    <w:rsid w:val="00A116F3"/>
    <w:rsid w:val="00A1234E"/>
    <w:rsid w:val="00A1257C"/>
    <w:rsid w:val="00A12676"/>
    <w:rsid w:val="00A1374C"/>
    <w:rsid w:val="00A143F7"/>
    <w:rsid w:val="00A149E4"/>
    <w:rsid w:val="00A15413"/>
    <w:rsid w:val="00A16143"/>
    <w:rsid w:val="00A16FB8"/>
    <w:rsid w:val="00A17393"/>
    <w:rsid w:val="00A1753A"/>
    <w:rsid w:val="00A17FD6"/>
    <w:rsid w:val="00A20F64"/>
    <w:rsid w:val="00A22DB5"/>
    <w:rsid w:val="00A22E8F"/>
    <w:rsid w:val="00A23054"/>
    <w:rsid w:val="00A23567"/>
    <w:rsid w:val="00A23FDB"/>
    <w:rsid w:val="00A245E6"/>
    <w:rsid w:val="00A25991"/>
    <w:rsid w:val="00A25C9D"/>
    <w:rsid w:val="00A26CCB"/>
    <w:rsid w:val="00A2717F"/>
    <w:rsid w:val="00A27775"/>
    <w:rsid w:val="00A27870"/>
    <w:rsid w:val="00A27880"/>
    <w:rsid w:val="00A2797E"/>
    <w:rsid w:val="00A314C5"/>
    <w:rsid w:val="00A31798"/>
    <w:rsid w:val="00A31A30"/>
    <w:rsid w:val="00A32A57"/>
    <w:rsid w:val="00A344AD"/>
    <w:rsid w:val="00A34698"/>
    <w:rsid w:val="00A34B7E"/>
    <w:rsid w:val="00A34D1E"/>
    <w:rsid w:val="00A366C3"/>
    <w:rsid w:val="00A36888"/>
    <w:rsid w:val="00A36C76"/>
    <w:rsid w:val="00A37687"/>
    <w:rsid w:val="00A40326"/>
    <w:rsid w:val="00A4032B"/>
    <w:rsid w:val="00A40E20"/>
    <w:rsid w:val="00A41936"/>
    <w:rsid w:val="00A4372A"/>
    <w:rsid w:val="00A43D06"/>
    <w:rsid w:val="00A43E41"/>
    <w:rsid w:val="00A446C6"/>
    <w:rsid w:val="00A44943"/>
    <w:rsid w:val="00A44A71"/>
    <w:rsid w:val="00A4521A"/>
    <w:rsid w:val="00A45831"/>
    <w:rsid w:val="00A461F4"/>
    <w:rsid w:val="00A46207"/>
    <w:rsid w:val="00A47D07"/>
    <w:rsid w:val="00A47FBD"/>
    <w:rsid w:val="00A509B5"/>
    <w:rsid w:val="00A51347"/>
    <w:rsid w:val="00A51480"/>
    <w:rsid w:val="00A51892"/>
    <w:rsid w:val="00A51D94"/>
    <w:rsid w:val="00A5246F"/>
    <w:rsid w:val="00A5367C"/>
    <w:rsid w:val="00A540FB"/>
    <w:rsid w:val="00A54457"/>
    <w:rsid w:val="00A546FC"/>
    <w:rsid w:val="00A54B52"/>
    <w:rsid w:val="00A54DF1"/>
    <w:rsid w:val="00A55AC6"/>
    <w:rsid w:val="00A57441"/>
    <w:rsid w:val="00A57612"/>
    <w:rsid w:val="00A578A9"/>
    <w:rsid w:val="00A57A1B"/>
    <w:rsid w:val="00A57ECF"/>
    <w:rsid w:val="00A57F09"/>
    <w:rsid w:val="00A604D9"/>
    <w:rsid w:val="00A6254D"/>
    <w:rsid w:val="00A625B9"/>
    <w:rsid w:val="00A62D7B"/>
    <w:rsid w:val="00A62DC0"/>
    <w:rsid w:val="00A6337B"/>
    <w:rsid w:val="00A649D1"/>
    <w:rsid w:val="00A65AD5"/>
    <w:rsid w:val="00A65C2E"/>
    <w:rsid w:val="00A65D49"/>
    <w:rsid w:val="00A65FDA"/>
    <w:rsid w:val="00A66583"/>
    <w:rsid w:val="00A679F1"/>
    <w:rsid w:val="00A67F35"/>
    <w:rsid w:val="00A70584"/>
    <w:rsid w:val="00A70CC8"/>
    <w:rsid w:val="00A70E3A"/>
    <w:rsid w:val="00A71E21"/>
    <w:rsid w:val="00A71F7B"/>
    <w:rsid w:val="00A72C95"/>
    <w:rsid w:val="00A73DCC"/>
    <w:rsid w:val="00A754F6"/>
    <w:rsid w:val="00A75B40"/>
    <w:rsid w:val="00A76783"/>
    <w:rsid w:val="00A76D6E"/>
    <w:rsid w:val="00A772F2"/>
    <w:rsid w:val="00A77681"/>
    <w:rsid w:val="00A7787D"/>
    <w:rsid w:val="00A77A69"/>
    <w:rsid w:val="00A77CF3"/>
    <w:rsid w:val="00A77D8B"/>
    <w:rsid w:val="00A80BEE"/>
    <w:rsid w:val="00A811E9"/>
    <w:rsid w:val="00A81424"/>
    <w:rsid w:val="00A8210A"/>
    <w:rsid w:val="00A82A3C"/>
    <w:rsid w:val="00A8336C"/>
    <w:rsid w:val="00A84212"/>
    <w:rsid w:val="00A8466A"/>
    <w:rsid w:val="00A84832"/>
    <w:rsid w:val="00A85376"/>
    <w:rsid w:val="00A86209"/>
    <w:rsid w:val="00A86C07"/>
    <w:rsid w:val="00A86DAE"/>
    <w:rsid w:val="00A86DDA"/>
    <w:rsid w:val="00A8771E"/>
    <w:rsid w:val="00A87C2B"/>
    <w:rsid w:val="00A90755"/>
    <w:rsid w:val="00A90A97"/>
    <w:rsid w:val="00A90F22"/>
    <w:rsid w:val="00A91472"/>
    <w:rsid w:val="00A91C3B"/>
    <w:rsid w:val="00A91EC0"/>
    <w:rsid w:val="00A92159"/>
    <w:rsid w:val="00A9241A"/>
    <w:rsid w:val="00A929FA"/>
    <w:rsid w:val="00A92E69"/>
    <w:rsid w:val="00A9371F"/>
    <w:rsid w:val="00A93898"/>
    <w:rsid w:val="00A93F78"/>
    <w:rsid w:val="00A947B4"/>
    <w:rsid w:val="00A95086"/>
    <w:rsid w:val="00A950A4"/>
    <w:rsid w:val="00A95685"/>
    <w:rsid w:val="00A95834"/>
    <w:rsid w:val="00A95B18"/>
    <w:rsid w:val="00A963A8"/>
    <w:rsid w:val="00A96577"/>
    <w:rsid w:val="00A97F1A"/>
    <w:rsid w:val="00AA015F"/>
    <w:rsid w:val="00AA0757"/>
    <w:rsid w:val="00AA0DAA"/>
    <w:rsid w:val="00AA0E78"/>
    <w:rsid w:val="00AA2384"/>
    <w:rsid w:val="00AA2FA7"/>
    <w:rsid w:val="00AA2FFF"/>
    <w:rsid w:val="00AA421C"/>
    <w:rsid w:val="00AA4851"/>
    <w:rsid w:val="00AA536A"/>
    <w:rsid w:val="00AA5C52"/>
    <w:rsid w:val="00AA727F"/>
    <w:rsid w:val="00AA7A9B"/>
    <w:rsid w:val="00AB00FB"/>
    <w:rsid w:val="00AB149D"/>
    <w:rsid w:val="00AB2D01"/>
    <w:rsid w:val="00AB2FB3"/>
    <w:rsid w:val="00AB32AB"/>
    <w:rsid w:val="00AB3EB9"/>
    <w:rsid w:val="00AB452D"/>
    <w:rsid w:val="00AB4809"/>
    <w:rsid w:val="00AB50C4"/>
    <w:rsid w:val="00AB6520"/>
    <w:rsid w:val="00AB6ADF"/>
    <w:rsid w:val="00AB6B94"/>
    <w:rsid w:val="00AB6B98"/>
    <w:rsid w:val="00AB6B9A"/>
    <w:rsid w:val="00AB6CA9"/>
    <w:rsid w:val="00AB7C7D"/>
    <w:rsid w:val="00AB7CC2"/>
    <w:rsid w:val="00AC21FC"/>
    <w:rsid w:val="00AC2854"/>
    <w:rsid w:val="00AC3097"/>
    <w:rsid w:val="00AC3583"/>
    <w:rsid w:val="00AC3EB6"/>
    <w:rsid w:val="00AC42FC"/>
    <w:rsid w:val="00AC486D"/>
    <w:rsid w:val="00AC4C49"/>
    <w:rsid w:val="00AC5CB3"/>
    <w:rsid w:val="00AC603E"/>
    <w:rsid w:val="00AC60BE"/>
    <w:rsid w:val="00AC6B03"/>
    <w:rsid w:val="00AC7489"/>
    <w:rsid w:val="00AC7713"/>
    <w:rsid w:val="00AC7B33"/>
    <w:rsid w:val="00AD01B3"/>
    <w:rsid w:val="00AD0AF4"/>
    <w:rsid w:val="00AD1863"/>
    <w:rsid w:val="00AD21EC"/>
    <w:rsid w:val="00AD2295"/>
    <w:rsid w:val="00AD22BE"/>
    <w:rsid w:val="00AD4509"/>
    <w:rsid w:val="00AD4C84"/>
    <w:rsid w:val="00AD4E63"/>
    <w:rsid w:val="00AD5ACC"/>
    <w:rsid w:val="00AD5CE7"/>
    <w:rsid w:val="00AD5CFA"/>
    <w:rsid w:val="00AD651C"/>
    <w:rsid w:val="00AD6591"/>
    <w:rsid w:val="00AD66C6"/>
    <w:rsid w:val="00AD6A4F"/>
    <w:rsid w:val="00AD773F"/>
    <w:rsid w:val="00AE039A"/>
    <w:rsid w:val="00AE0EC4"/>
    <w:rsid w:val="00AE0EC8"/>
    <w:rsid w:val="00AE14ED"/>
    <w:rsid w:val="00AE2005"/>
    <w:rsid w:val="00AE20E0"/>
    <w:rsid w:val="00AE220C"/>
    <w:rsid w:val="00AE2330"/>
    <w:rsid w:val="00AE2AB7"/>
    <w:rsid w:val="00AE3286"/>
    <w:rsid w:val="00AE37F9"/>
    <w:rsid w:val="00AE72BF"/>
    <w:rsid w:val="00AE79FF"/>
    <w:rsid w:val="00AE7BD6"/>
    <w:rsid w:val="00AE7E91"/>
    <w:rsid w:val="00AF0FC4"/>
    <w:rsid w:val="00AF16CF"/>
    <w:rsid w:val="00AF1901"/>
    <w:rsid w:val="00AF2BDA"/>
    <w:rsid w:val="00AF497E"/>
    <w:rsid w:val="00AF4EEE"/>
    <w:rsid w:val="00AF59AE"/>
    <w:rsid w:val="00AF62C1"/>
    <w:rsid w:val="00AF69A7"/>
    <w:rsid w:val="00AF6C16"/>
    <w:rsid w:val="00AF7466"/>
    <w:rsid w:val="00AF755F"/>
    <w:rsid w:val="00B00841"/>
    <w:rsid w:val="00B0192B"/>
    <w:rsid w:val="00B02337"/>
    <w:rsid w:val="00B03A9E"/>
    <w:rsid w:val="00B0496B"/>
    <w:rsid w:val="00B04E65"/>
    <w:rsid w:val="00B050DC"/>
    <w:rsid w:val="00B052C0"/>
    <w:rsid w:val="00B0549A"/>
    <w:rsid w:val="00B07C82"/>
    <w:rsid w:val="00B102B6"/>
    <w:rsid w:val="00B10B85"/>
    <w:rsid w:val="00B113A9"/>
    <w:rsid w:val="00B1176E"/>
    <w:rsid w:val="00B11C42"/>
    <w:rsid w:val="00B1364E"/>
    <w:rsid w:val="00B142EC"/>
    <w:rsid w:val="00B14CAF"/>
    <w:rsid w:val="00B1558C"/>
    <w:rsid w:val="00B161A8"/>
    <w:rsid w:val="00B161B9"/>
    <w:rsid w:val="00B1655A"/>
    <w:rsid w:val="00B20F70"/>
    <w:rsid w:val="00B21026"/>
    <w:rsid w:val="00B2173B"/>
    <w:rsid w:val="00B2199A"/>
    <w:rsid w:val="00B21F2C"/>
    <w:rsid w:val="00B2252E"/>
    <w:rsid w:val="00B2300B"/>
    <w:rsid w:val="00B24266"/>
    <w:rsid w:val="00B2439C"/>
    <w:rsid w:val="00B2476E"/>
    <w:rsid w:val="00B24B2B"/>
    <w:rsid w:val="00B24D45"/>
    <w:rsid w:val="00B255B7"/>
    <w:rsid w:val="00B2663F"/>
    <w:rsid w:val="00B267EA"/>
    <w:rsid w:val="00B27123"/>
    <w:rsid w:val="00B275E2"/>
    <w:rsid w:val="00B27AD3"/>
    <w:rsid w:val="00B27CF7"/>
    <w:rsid w:val="00B31F37"/>
    <w:rsid w:val="00B32910"/>
    <w:rsid w:val="00B33169"/>
    <w:rsid w:val="00B33628"/>
    <w:rsid w:val="00B33800"/>
    <w:rsid w:val="00B33E50"/>
    <w:rsid w:val="00B34AD5"/>
    <w:rsid w:val="00B360C4"/>
    <w:rsid w:val="00B3689B"/>
    <w:rsid w:val="00B36A4B"/>
    <w:rsid w:val="00B36BCB"/>
    <w:rsid w:val="00B4010D"/>
    <w:rsid w:val="00B403A9"/>
    <w:rsid w:val="00B40B04"/>
    <w:rsid w:val="00B419CD"/>
    <w:rsid w:val="00B41A0E"/>
    <w:rsid w:val="00B41ECA"/>
    <w:rsid w:val="00B431B0"/>
    <w:rsid w:val="00B4357F"/>
    <w:rsid w:val="00B43AF3"/>
    <w:rsid w:val="00B44098"/>
    <w:rsid w:val="00B440EA"/>
    <w:rsid w:val="00B44BAB"/>
    <w:rsid w:val="00B453E1"/>
    <w:rsid w:val="00B457F2"/>
    <w:rsid w:val="00B46671"/>
    <w:rsid w:val="00B46B9A"/>
    <w:rsid w:val="00B501F9"/>
    <w:rsid w:val="00B5041F"/>
    <w:rsid w:val="00B5184B"/>
    <w:rsid w:val="00B51E34"/>
    <w:rsid w:val="00B51ECF"/>
    <w:rsid w:val="00B522E2"/>
    <w:rsid w:val="00B524F6"/>
    <w:rsid w:val="00B53352"/>
    <w:rsid w:val="00B538B1"/>
    <w:rsid w:val="00B539F9"/>
    <w:rsid w:val="00B53E3B"/>
    <w:rsid w:val="00B53E8F"/>
    <w:rsid w:val="00B546FF"/>
    <w:rsid w:val="00B548FE"/>
    <w:rsid w:val="00B56094"/>
    <w:rsid w:val="00B560C3"/>
    <w:rsid w:val="00B56997"/>
    <w:rsid w:val="00B56D97"/>
    <w:rsid w:val="00B571EA"/>
    <w:rsid w:val="00B57244"/>
    <w:rsid w:val="00B57953"/>
    <w:rsid w:val="00B608E7"/>
    <w:rsid w:val="00B60DEA"/>
    <w:rsid w:val="00B60E9C"/>
    <w:rsid w:val="00B615AC"/>
    <w:rsid w:val="00B61A9D"/>
    <w:rsid w:val="00B62098"/>
    <w:rsid w:val="00B62F02"/>
    <w:rsid w:val="00B64AE9"/>
    <w:rsid w:val="00B64E95"/>
    <w:rsid w:val="00B651B7"/>
    <w:rsid w:val="00B665EC"/>
    <w:rsid w:val="00B6747F"/>
    <w:rsid w:val="00B677B7"/>
    <w:rsid w:val="00B6791C"/>
    <w:rsid w:val="00B67E01"/>
    <w:rsid w:val="00B708EF"/>
    <w:rsid w:val="00B721E7"/>
    <w:rsid w:val="00B72306"/>
    <w:rsid w:val="00B72F3B"/>
    <w:rsid w:val="00B7307A"/>
    <w:rsid w:val="00B73631"/>
    <w:rsid w:val="00B73B02"/>
    <w:rsid w:val="00B73D09"/>
    <w:rsid w:val="00B743EA"/>
    <w:rsid w:val="00B74E22"/>
    <w:rsid w:val="00B771B1"/>
    <w:rsid w:val="00B80CA9"/>
    <w:rsid w:val="00B8178A"/>
    <w:rsid w:val="00B81EFD"/>
    <w:rsid w:val="00B82B8F"/>
    <w:rsid w:val="00B82DA6"/>
    <w:rsid w:val="00B83209"/>
    <w:rsid w:val="00B83AAC"/>
    <w:rsid w:val="00B84735"/>
    <w:rsid w:val="00B8618F"/>
    <w:rsid w:val="00B864F1"/>
    <w:rsid w:val="00B87F86"/>
    <w:rsid w:val="00B9006A"/>
    <w:rsid w:val="00B912FF"/>
    <w:rsid w:val="00B9133F"/>
    <w:rsid w:val="00B913CB"/>
    <w:rsid w:val="00B918F3"/>
    <w:rsid w:val="00B9344A"/>
    <w:rsid w:val="00B93848"/>
    <w:rsid w:val="00B94182"/>
    <w:rsid w:val="00B944EF"/>
    <w:rsid w:val="00B972C8"/>
    <w:rsid w:val="00B975FC"/>
    <w:rsid w:val="00BA0621"/>
    <w:rsid w:val="00BA0E9C"/>
    <w:rsid w:val="00BA10B3"/>
    <w:rsid w:val="00BA13BC"/>
    <w:rsid w:val="00BA1A4F"/>
    <w:rsid w:val="00BA1D31"/>
    <w:rsid w:val="00BA24F8"/>
    <w:rsid w:val="00BA356E"/>
    <w:rsid w:val="00BA3B06"/>
    <w:rsid w:val="00BA4B8C"/>
    <w:rsid w:val="00BA5223"/>
    <w:rsid w:val="00BA626B"/>
    <w:rsid w:val="00BA6B32"/>
    <w:rsid w:val="00BA7215"/>
    <w:rsid w:val="00BA782E"/>
    <w:rsid w:val="00BA7BB6"/>
    <w:rsid w:val="00BB02C4"/>
    <w:rsid w:val="00BB039F"/>
    <w:rsid w:val="00BB0AE4"/>
    <w:rsid w:val="00BB14BB"/>
    <w:rsid w:val="00BB285A"/>
    <w:rsid w:val="00BB2B48"/>
    <w:rsid w:val="00BB2C5C"/>
    <w:rsid w:val="00BB33C4"/>
    <w:rsid w:val="00BB3605"/>
    <w:rsid w:val="00BB4276"/>
    <w:rsid w:val="00BB4505"/>
    <w:rsid w:val="00BB532B"/>
    <w:rsid w:val="00BB62C1"/>
    <w:rsid w:val="00BB7444"/>
    <w:rsid w:val="00BB78C9"/>
    <w:rsid w:val="00BB7E1B"/>
    <w:rsid w:val="00BC07C2"/>
    <w:rsid w:val="00BC14FE"/>
    <w:rsid w:val="00BC1530"/>
    <w:rsid w:val="00BC18F7"/>
    <w:rsid w:val="00BC223B"/>
    <w:rsid w:val="00BC3912"/>
    <w:rsid w:val="00BC3D93"/>
    <w:rsid w:val="00BC3FFA"/>
    <w:rsid w:val="00BC4A0C"/>
    <w:rsid w:val="00BC5CEF"/>
    <w:rsid w:val="00BC64CC"/>
    <w:rsid w:val="00BC6808"/>
    <w:rsid w:val="00BC6C26"/>
    <w:rsid w:val="00BC770A"/>
    <w:rsid w:val="00BC7868"/>
    <w:rsid w:val="00BD01DB"/>
    <w:rsid w:val="00BD0291"/>
    <w:rsid w:val="00BD156B"/>
    <w:rsid w:val="00BD1EF3"/>
    <w:rsid w:val="00BD1F86"/>
    <w:rsid w:val="00BD21FC"/>
    <w:rsid w:val="00BD27F3"/>
    <w:rsid w:val="00BD36DA"/>
    <w:rsid w:val="00BD50AC"/>
    <w:rsid w:val="00BD55EA"/>
    <w:rsid w:val="00BD6CCD"/>
    <w:rsid w:val="00BD7640"/>
    <w:rsid w:val="00BD7A22"/>
    <w:rsid w:val="00BE04D4"/>
    <w:rsid w:val="00BE0648"/>
    <w:rsid w:val="00BE09D2"/>
    <w:rsid w:val="00BE1117"/>
    <w:rsid w:val="00BE163C"/>
    <w:rsid w:val="00BE2E2C"/>
    <w:rsid w:val="00BE3378"/>
    <w:rsid w:val="00BE42EB"/>
    <w:rsid w:val="00BE4F87"/>
    <w:rsid w:val="00BE517A"/>
    <w:rsid w:val="00BE551A"/>
    <w:rsid w:val="00BE589B"/>
    <w:rsid w:val="00BE71C2"/>
    <w:rsid w:val="00BE7C22"/>
    <w:rsid w:val="00BF0525"/>
    <w:rsid w:val="00BF05BB"/>
    <w:rsid w:val="00BF0F65"/>
    <w:rsid w:val="00BF25F6"/>
    <w:rsid w:val="00BF2741"/>
    <w:rsid w:val="00BF2779"/>
    <w:rsid w:val="00BF3D78"/>
    <w:rsid w:val="00BF518C"/>
    <w:rsid w:val="00BF5C5A"/>
    <w:rsid w:val="00BF6601"/>
    <w:rsid w:val="00BF663E"/>
    <w:rsid w:val="00BF76DF"/>
    <w:rsid w:val="00C00294"/>
    <w:rsid w:val="00C00974"/>
    <w:rsid w:val="00C00C46"/>
    <w:rsid w:val="00C01F82"/>
    <w:rsid w:val="00C023EB"/>
    <w:rsid w:val="00C02D34"/>
    <w:rsid w:val="00C03B4D"/>
    <w:rsid w:val="00C0433C"/>
    <w:rsid w:val="00C052CB"/>
    <w:rsid w:val="00C064DF"/>
    <w:rsid w:val="00C07A5E"/>
    <w:rsid w:val="00C102CA"/>
    <w:rsid w:val="00C10543"/>
    <w:rsid w:val="00C10BDE"/>
    <w:rsid w:val="00C10F76"/>
    <w:rsid w:val="00C11914"/>
    <w:rsid w:val="00C11C07"/>
    <w:rsid w:val="00C13E76"/>
    <w:rsid w:val="00C14406"/>
    <w:rsid w:val="00C14665"/>
    <w:rsid w:val="00C146FC"/>
    <w:rsid w:val="00C15477"/>
    <w:rsid w:val="00C15E91"/>
    <w:rsid w:val="00C16237"/>
    <w:rsid w:val="00C166E3"/>
    <w:rsid w:val="00C17815"/>
    <w:rsid w:val="00C17A47"/>
    <w:rsid w:val="00C17D5E"/>
    <w:rsid w:val="00C20B27"/>
    <w:rsid w:val="00C219DD"/>
    <w:rsid w:val="00C22494"/>
    <w:rsid w:val="00C23781"/>
    <w:rsid w:val="00C237F6"/>
    <w:rsid w:val="00C23FBE"/>
    <w:rsid w:val="00C25058"/>
    <w:rsid w:val="00C25ECC"/>
    <w:rsid w:val="00C267FF"/>
    <w:rsid w:val="00C27654"/>
    <w:rsid w:val="00C30629"/>
    <w:rsid w:val="00C31228"/>
    <w:rsid w:val="00C32889"/>
    <w:rsid w:val="00C3353D"/>
    <w:rsid w:val="00C3399D"/>
    <w:rsid w:val="00C33D00"/>
    <w:rsid w:val="00C34873"/>
    <w:rsid w:val="00C356F4"/>
    <w:rsid w:val="00C35876"/>
    <w:rsid w:val="00C35F95"/>
    <w:rsid w:val="00C36188"/>
    <w:rsid w:val="00C36801"/>
    <w:rsid w:val="00C37503"/>
    <w:rsid w:val="00C401E8"/>
    <w:rsid w:val="00C411D0"/>
    <w:rsid w:val="00C41228"/>
    <w:rsid w:val="00C4271D"/>
    <w:rsid w:val="00C42F6A"/>
    <w:rsid w:val="00C43B2D"/>
    <w:rsid w:val="00C44145"/>
    <w:rsid w:val="00C447EB"/>
    <w:rsid w:val="00C453D1"/>
    <w:rsid w:val="00C4570A"/>
    <w:rsid w:val="00C463CB"/>
    <w:rsid w:val="00C468D0"/>
    <w:rsid w:val="00C5087A"/>
    <w:rsid w:val="00C510B4"/>
    <w:rsid w:val="00C51742"/>
    <w:rsid w:val="00C54480"/>
    <w:rsid w:val="00C545E2"/>
    <w:rsid w:val="00C55789"/>
    <w:rsid w:val="00C55ABE"/>
    <w:rsid w:val="00C56799"/>
    <w:rsid w:val="00C56D51"/>
    <w:rsid w:val="00C56E10"/>
    <w:rsid w:val="00C57CE0"/>
    <w:rsid w:val="00C60DA0"/>
    <w:rsid w:val="00C63AFD"/>
    <w:rsid w:val="00C64C14"/>
    <w:rsid w:val="00C64E2F"/>
    <w:rsid w:val="00C65179"/>
    <w:rsid w:val="00C66B96"/>
    <w:rsid w:val="00C67790"/>
    <w:rsid w:val="00C67974"/>
    <w:rsid w:val="00C7060E"/>
    <w:rsid w:val="00C707EC"/>
    <w:rsid w:val="00C70841"/>
    <w:rsid w:val="00C71071"/>
    <w:rsid w:val="00C71211"/>
    <w:rsid w:val="00C7121A"/>
    <w:rsid w:val="00C716AA"/>
    <w:rsid w:val="00C71A20"/>
    <w:rsid w:val="00C71F21"/>
    <w:rsid w:val="00C72028"/>
    <w:rsid w:val="00C73FEB"/>
    <w:rsid w:val="00C74022"/>
    <w:rsid w:val="00C757A9"/>
    <w:rsid w:val="00C75E73"/>
    <w:rsid w:val="00C76094"/>
    <w:rsid w:val="00C7761C"/>
    <w:rsid w:val="00C77668"/>
    <w:rsid w:val="00C80307"/>
    <w:rsid w:val="00C810F5"/>
    <w:rsid w:val="00C8146E"/>
    <w:rsid w:val="00C8190B"/>
    <w:rsid w:val="00C81BD9"/>
    <w:rsid w:val="00C82317"/>
    <w:rsid w:val="00C824B5"/>
    <w:rsid w:val="00C82C3E"/>
    <w:rsid w:val="00C830AF"/>
    <w:rsid w:val="00C8327C"/>
    <w:rsid w:val="00C84CB3"/>
    <w:rsid w:val="00C84CDF"/>
    <w:rsid w:val="00C84FFE"/>
    <w:rsid w:val="00C85961"/>
    <w:rsid w:val="00C85B2C"/>
    <w:rsid w:val="00C906F8"/>
    <w:rsid w:val="00C9072C"/>
    <w:rsid w:val="00C90AC2"/>
    <w:rsid w:val="00C91667"/>
    <w:rsid w:val="00C92A6F"/>
    <w:rsid w:val="00C92B7C"/>
    <w:rsid w:val="00C92B81"/>
    <w:rsid w:val="00C945CE"/>
    <w:rsid w:val="00C94995"/>
    <w:rsid w:val="00C9567E"/>
    <w:rsid w:val="00C9746D"/>
    <w:rsid w:val="00C9759D"/>
    <w:rsid w:val="00C976DA"/>
    <w:rsid w:val="00C97BDB"/>
    <w:rsid w:val="00C97C6F"/>
    <w:rsid w:val="00CA1D58"/>
    <w:rsid w:val="00CA2840"/>
    <w:rsid w:val="00CA3266"/>
    <w:rsid w:val="00CA3AC3"/>
    <w:rsid w:val="00CA3D7E"/>
    <w:rsid w:val="00CA465D"/>
    <w:rsid w:val="00CA4E54"/>
    <w:rsid w:val="00CA5533"/>
    <w:rsid w:val="00CA582E"/>
    <w:rsid w:val="00CA6967"/>
    <w:rsid w:val="00CA77B8"/>
    <w:rsid w:val="00CA785A"/>
    <w:rsid w:val="00CB034E"/>
    <w:rsid w:val="00CB0502"/>
    <w:rsid w:val="00CB0906"/>
    <w:rsid w:val="00CB0F4C"/>
    <w:rsid w:val="00CB15B5"/>
    <w:rsid w:val="00CB1949"/>
    <w:rsid w:val="00CB21C6"/>
    <w:rsid w:val="00CB3C9F"/>
    <w:rsid w:val="00CB3ED1"/>
    <w:rsid w:val="00CB422C"/>
    <w:rsid w:val="00CB49C6"/>
    <w:rsid w:val="00CB4BC1"/>
    <w:rsid w:val="00CB4CA8"/>
    <w:rsid w:val="00CB6632"/>
    <w:rsid w:val="00CB6E37"/>
    <w:rsid w:val="00CB7498"/>
    <w:rsid w:val="00CB7676"/>
    <w:rsid w:val="00CC0832"/>
    <w:rsid w:val="00CC0B59"/>
    <w:rsid w:val="00CC0CBA"/>
    <w:rsid w:val="00CC0F9B"/>
    <w:rsid w:val="00CC0FBE"/>
    <w:rsid w:val="00CC0FDF"/>
    <w:rsid w:val="00CC1935"/>
    <w:rsid w:val="00CC239F"/>
    <w:rsid w:val="00CC2D6E"/>
    <w:rsid w:val="00CC2DE0"/>
    <w:rsid w:val="00CC2E41"/>
    <w:rsid w:val="00CC31A2"/>
    <w:rsid w:val="00CC338D"/>
    <w:rsid w:val="00CC3706"/>
    <w:rsid w:val="00CC3877"/>
    <w:rsid w:val="00CC3DCA"/>
    <w:rsid w:val="00CC434F"/>
    <w:rsid w:val="00CC55A9"/>
    <w:rsid w:val="00CC5B4D"/>
    <w:rsid w:val="00CC5DEA"/>
    <w:rsid w:val="00CC63EC"/>
    <w:rsid w:val="00CC679D"/>
    <w:rsid w:val="00CC75CF"/>
    <w:rsid w:val="00CC7AEC"/>
    <w:rsid w:val="00CD0C3C"/>
    <w:rsid w:val="00CD16C7"/>
    <w:rsid w:val="00CD17C1"/>
    <w:rsid w:val="00CD1A59"/>
    <w:rsid w:val="00CD1BB0"/>
    <w:rsid w:val="00CD2042"/>
    <w:rsid w:val="00CD2A0C"/>
    <w:rsid w:val="00CD2D99"/>
    <w:rsid w:val="00CD2DD0"/>
    <w:rsid w:val="00CD37CE"/>
    <w:rsid w:val="00CD4158"/>
    <w:rsid w:val="00CD4E06"/>
    <w:rsid w:val="00CD528C"/>
    <w:rsid w:val="00CD5607"/>
    <w:rsid w:val="00CD562F"/>
    <w:rsid w:val="00CD59FE"/>
    <w:rsid w:val="00CD5FA9"/>
    <w:rsid w:val="00CD6108"/>
    <w:rsid w:val="00CD64B3"/>
    <w:rsid w:val="00CD7305"/>
    <w:rsid w:val="00CD7354"/>
    <w:rsid w:val="00CD7450"/>
    <w:rsid w:val="00CE063A"/>
    <w:rsid w:val="00CE0786"/>
    <w:rsid w:val="00CE0C17"/>
    <w:rsid w:val="00CE1385"/>
    <w:rsid w:val="00CE1C3B"/>
    <w:rsid w:val="00CE36EB"/>
    <w:rsid w:val="00CE41E5"/>
    <w:rsid w:val="00CE423C"/>
    <w:rsid w:val="00CE47FC"/>
    <w:rsid w:val="00CE4877"/>
    <w:rsid w:val="00CE487E"/>
    <w:rsid w:val="00CE4B5E"/>
    <w:rsid w:val="00CE4CB7"/>
    <w:rsid w:val="00CE53EC"/>
    <w:rsid w:val="00CE5778"/>
    <w:rsid w:val="00CE5874"/>
    <w:rsid w:val="00CE59BF"/>
    <w:rsid w:val="00CE6194"/>
    <w:rsid w:val="00CE6531"/>
    <w:rsid w:val="00CE7385"/>
    <w:rsid w:val="00CE7B23"/>
    <w:rsid w:val="00CF018C"/>
    <w:rsid w:val="00CF02BA"/>
    <w:rsid w:val="00CF0999"/>
    <w:rsid w:val="00CF0BF1"/>
    <w:rsid w:val="00CF180A"/>
    <w:rsid w:val="00CF2508"/>
    <w:rsid w:val="00CF2824"/>
    <w:rsid w:val="00CF28AB"/>
    <w:rsid w:val="00CF3172"/>
    <w:rsid w:val="00CF4C38"/>
    <w:rsid w:val="00CF509F"/>
    <w:rsid w:val="00CF7C96"/>
    <w:rsid w:val="00D01156"/>
    <w:rsid w:val="00D014EF"/>
    <w:rsid w:val="00D01DD7"/>
    <w:rsid w:val="00D01ED6"/>
    <w:rsid w:val="00D03AA0"/>
    <w:rsid w:val="00D03EFB"/>
    <w:rsid w:val="00D061C5"/>
    <w:rsid w:val="00D06428"/>
    <w:rsid w:val="00D07166"/>
    <w:rsid w:val="00D07321"/>
    <w:rsid w:val="00D07391"/>
    <w:rsid w:val="00D079B3"/>
    <w:rsid w:val="00D07FCF"/>
    <w:rsid w:val="00D105D2"/>
    <w:rsid w:val="00D10E2A"/>
    <w:rsid w:val="00D10FCB"/>
    <w:rsid w:val="00D11053"/>
    <w:rsid w:val="00D11286"/>
    <w:rsid w:val="00D119E6"/>
    <w:rsid w:val="00D11F72"/>
    <w:rsid w:val="00D12A48"/>
    <w:rsid w:val="00D12BC2"/>
    <w:rsid w:val="00D12CB3"/>
    <w:rsid w:val="00D12E21"/>
    <w:rsid w:val="00D134B7"/>
    <w:rsid w:val="00D13899"/>
    <w:rsid w:val="00D13B30"/>
    <w:rsid w:val="00D14BE4"/>
    <w:rsid w:val="00D14F38"/>
    <w:rsid w:val="00D14FC0"/>
    <w:rsid w:val="00D1553A"/>
    <w:rsid w:val="00D1633B"/>
    <w:rsid w:val="00D16F68"/>
    <w:rsid w:val="00D179F5"/>
    <w:rsid w:val="00D2010B"/>
    <w:rsid w:val="00D2033F"/>
    <w:rsid w:val="00D211A7"/>
    <w:rsid w:val="00D2192A"/>
    <w:rsid w:val="00D22787"/>
    <w:rsid w:val="00D22EA2"/>
    <w:rsid w:val="00D22FF8"/>
    <w:rsid w:val="00D2438B"/>
    <w:rsid w:val="00D26F4A"/>
    <w:rsid w:val="00D27514"/>
    <w:rsid w:val="00D27AF1"/>
    <w:rsid w:val="00D27C51"/>
    <w:rsid w:val="00D27E86"/>
    <w:rsid w:val="00D30686"/>
    <w:rsid w:val="00D313A8"/>
    <w:rsid w:val="00D327F1"/>
    <w:rsid w:val="00D32894"/>
    <w:rsid w:val="00D32EC0"/>
    <w:rsid w:val="00D32FB6"/>
    <w:rsid w:val="00D33725"/>
    <w:rsid w:val="00D33DB7"/>
    <w:rsid w:val="00D34B77"/>
    <w:rsid w:val="00D34DF2"/>
    <w:rsid w:val="00D3539F"/>
    <w:rsid w:val="00D363AA"/>
    <w:rsid w:val="00D36F14"/>
    <w:rsid w:val="00D3717A"/>
    <w:rsid w:val="00D4082F"/>
    <w:rsid w:val="00D41042"/>
    <w:rsid w:val="00D41639"/>
    <w:rsid w:val="00D422F0"/>
    <w:rsid w:val="00D42491"/>
    <w:rsid w:val="00D42929"/>
    <w:rsid w:val="00D42DFD"/>
    <w:rsid w:val="00D437B5"/>
    <w:rsid w:val="00D45405"/>
    <w:rsid w:val="00D46AB1"/>
    <w:rsid w:val="00D5013B"/>
    <w:rsid w:val="00D50538"/>
    <w:rsid w:val="00D50685"/>
    <w:rsid w:val="00D507B4"/>
    <w:rsid w:val="00D50F55"/>
    <w:rsid w:val="00D521E5"/>
    <w:rsid w:val="00D52B3A"/>
    <w:rsid w:val="00D52B3B"/>
    <w:rsid w:val="00D53164"/>
    <w:rsid w:val="00D53AFC"/>
    <w:rsid w:val="00D5573D"/>
    <w:rsid w:val="00D55D61"/>
    <w:rsid w:val="00D56894"/>
    <w:rsid w:val="00D5692C"/>
    <w:rsid w:val="00D56B09"/>
    <w:rsid w:val="00D56BFA"/>
    <w:rsid w:val="00D570D3"/>
    <w:rsid w:val="00D57C12"/>
    <w:rsid w:val="00D57F0A"/>
    <w:rsid w:val="00D6012F"/>
    <w:rsid w:val="00D602E1"/>
    <w:rsid w:val="00D6038E"/>
    <w:rsid w:val="00D608B3"/>
    <w:rsid w:val="00D619CC"/>
    <w:rsid w:val="00D61EE2"/>
    <w:rsid w:val="00D62411"/>
    <w:rsid w:val="00D626E4"/>
    <w:rsid w:val="00D63032"/>
    <w:rsid w:val="00D63209"/>
    <w:rsid w:val="00D6345C"/>
    <w:rsid w:val="00D63856"/>
    <w:rsid w:val="00D6546F"/>
    <w:rsid w:val="00D6558E"/>
    <w:rsid w:val="00D6700B"/>
    <w:rsid w:val="00D675BC"/>
    <w:rsid w:val="00D676E0"/>
    <w:rsid w:val="00D67944"/>
    <w:rsid w:val="00D67B2F"/>
    <w:rsid w:val="00D67C05"/>
    <w:rsid w:val="00D67C8D"/>
    <w:rsid w:val="00D67E45"/>
    <w:rsid w:val="00D7064E"/>
    <w:rsid w:val="00D7097D"/>
    <w:rsid w:val="00D714A2"/>
    <w:rsid w:val="00D715DF"/>
    <w:rsid w:val="00D72098"/>
    <w:rsid w:val="00D72633"/>
    <w:rsid w:val="00D7264B"/>
    <w:rsid w:val="00D73638"/>
    <w:rsid w:val="00D74308"/>
    <w:rsid w:val="00D74914"/>
    <w:rsid w:val="00D749E1"/>
    <w:rsid w:val="00D74A66"/>
    <w:rsid w:val="00D75866"/>
    <w:rsid w:val="00D760E2"/>
    <w:rsid w:val="00D764E9"/>
    <w:rsid w:val="00D76741"/>
    <w:rsid w:val="00D769AA"/>
    <w:rsid w:val="00D77023"/>
    <w:rsid w:val="00D77300"/>
    <w:rsid w:val="00D77947"/>
    <w:rsid w:val="00D80724"/>
    <w:rsid w:val="00D80B2E"/>
    <w:rsid w:val="00D80BC1"/>
    <w:rsid w:val="00D81E56"/>
    <w:rsid w:val="00D81F0B"/>
    <w:rsid w:val="00D81FD7"/>
    <w:rsid w:val="00D829DC"/>
    <w:rsid w:val="00D82B6B"/>
    <w:rsid w:val="00D82D34"/>
    <w:rsid w:val="00D8379A"/>
    <w:rsid w:val="00D83801"/>
    <w:rsid w:val="00D83A28"/>
    <w:rsid w:val="00D83A9D"/>
    <w:rsid w:val="00D83FE3"/>
    <w:rsid w:val="00D84927"/>
    <w:rsid w:val="00D84937"/>
    <w:rsid w:val="00D84BFC"/>
    <w:rsid w:val="00D84CD2"/>
    <w:rsid w:val="00D85E77"/>
    <w:rsid w:val="00D8680A"/>
    <w:rsid w:val="00D86D36"/>
    <w:rsid w:val="00D870B8"/>
    <w:rsid w:val="00D9028D"/>
    <w:rsid w:val="00D90DFA"/>
    <w:rsid w:val="00D912EE"/>
    <w:rsid w:val="00D91B28"/>
    <w:rsid w:val="00D91BAF"/>
    <w:rsid w:val="00D923A2"/>
    <w:rsid w:val="00D9271E"/>
    <w:rsid w:val="00D92FEC"/>
    <w:rsid w:val="00D935BD"/>
    <w:rsid w:val="00D94791"/>
    <w:rsid w:val="00D953EB"/>
    <w:rsid w:val="00D956D6"/>
    <w:rsid w:val="00D961AE"/>
    <w:rsid w:val="00D968C1"/>
    <w:rsid w:val="00D96C5B"/>
    <w:rsid w:val="00D96D8D"/>
    <w:rsid w:val="00D97946"/>
    <w:rsid w:val="00DA016E"/>
    <w:rsid w:val="00DA1507"/>
    <w:rsid w:val="00DA49E7"/>
    <w:rsid w:val="00DA4B07"/>
    <w:rsid w:val="00DA54EC"/>
    <w:rsid w:val="00DA61D1"/>
    <w:rsid w:val="00DA624B"/>
    <w:rsid w:val="00DA749C"/>
    <w:rsid w:val="00DA7DD6"/>
    <w:rsid w:val="00DA7EF5"/>
    <w:rsid w:val="00DB1085"/>
    <w:rsid w:val="00DB139E"/>
    <w:rsid w:val="00DB1461"/>
    <w:rsid w:val="00DB14CD"/>
    <w:rsid w:val="00DB1C0E"/>
    <w:rsid w:val="00DB230B"/>
    <w:rsid w:val="00DB2711"/>
    <w:rsid w:val="00DB2F1D"/>
    <w:rsid w:val="00DB49EE"/>
    <w:rsid w:val="00DB4F4A"/>
    <w:rsid w:val="00DB531B"/>
    <w:rsid w:val="00DB53A1"/>
    <w:rsid w:val="00DB66AD"/>
    <w:rsid w:val="00DB6F8D"/>
    <w:rsid w:val="00DB7011"/>
    <w:rsid w:val="00DB7D2B"/>
    <w:rsid w:val="00DC0259"/>
    <w:rsid w:val="00DC025D"/>
    <w:rsid w:val="00DC0953"/>
    <w:rsid w:val="00DC0CD9"/>
    <w:rsid w:val="00DC1219"/>
    <w:rsid w:val="00DC1B61"/>
    <w:rsid w:val="00DC222F"/>
    <w:rsid w:val="00DC349D"/>
    <w:rsid w:val="00DC36CB"/>
    <w:rsid w:val="00DC42A2"/>
    <w:rsid w:val="00DC44F8"/>
    <w:rsid w:val="00DC4CE2"/>
    <w:rsid w:val="00DC5206"/>
    <w:rsid w:val="00DC5414"/>
    <w:rsid w:val="00DC5B2C"/>
    <w:rsid w:val="00DC5EB9"/>
    <w:rsid w:val="00DC640F"/>
    <w:rsid w:val="00DC6EAB"/>
    <w:rsid w:val="00DC70B7"/>
    <w:rsid w:val="00DC70D5"/>
    <w:rsid w:val="00DC7134"/>
    <w:rsid w:val="00DC7760"/>
    <w:rsid w:val="00DD0925"/>
    <w:rsid w:val="00DD0BBC"/>
    <w:rsid w:val="00DD11E5"/>
    <w:rsid w:val="00DD135D"/>
    <w:rsid w:val="00DD155D"/>
    <w:rsid w:val="00DD1873"/>
    <w:rsid w:val="00DD2183"/>
    <w:rsid w:val="00DD250B"/>
    <w:rsid w:val="00DD2EB6"/>
    <w:rsid w:val="00DD30C2"/>
    <w:rsid w:val="00DD4360"/>
    <w:rsid w:val="00DD4550"/>
    <w:rsid w:val="00DD458F"/>
    <w:rsid w:val="00DD50D8"/>
    <w:rsid w:val="00DD69FD"/>
    <w:rsid w:val="00DD710B"/>
    <w:rsid w:val="00DD757B"/>
    <w:rsid w:val="00DD7E8D"/>
    <w:rsid w:val="00DD7F88"/>
    <w:rsid w:val="00DE0F22"/>
    <w:rsid w:val="00DE1496"/>
    <w:rsid w:val="00DE1E02"/>
    <w:rsid w:val="00DE208B"/>
    <w:rsid w:val="00DE2226"/>
    <w:rsid w:val="00DE2481"/>
    <w:rsid w:val="00DE2926"/>
    <w:rsid w:val="00DE3CE7"/>
    <w:rsid w:val="00DE3CEC"/>
    <w:rsid w:val="00DE41D6"/>
    <w:rsid w:val="00DE481C"/>
    <w:rsid w:val="00DE49C7"/>
    <w:rsid w:val="00DE4DB3"/>
    <w:rsid w:val="00DE5576"/>
    <w:rsid w:val="00DE5848"/>
    <w:rsid w:val="00DE5E7B"/>
    <w:rsid w:val="00DE6420"/>
    <w:rsid w:val="00DE7126"/>
    <w:rsid w:val="00DE78D7"/>
    <w:rsid w:val="00DE7E20"/>
    <w:rsid w:val="00DF052B"/>
    <w:rsid w:val="00DF068E"/>
    <w:rsid w:val="00DF0F8C"/>
    <w:rsid w:val="00DF2DE0"/>
    <w:rsid w:val="00DF366F"/>
    <w:rsid w:val="00DF469E"/>
    <w:rsid w:val="00DF4797"/>
    <w:rsid w:val="00DF56AB"/>
    <w:rsid w:val="00DF6244"/>
    <w:rsid w:val="00DF6488"/>
    <w:rsid w:val="00DF64F5"/>
    <w:rsid w:val="00DF6E3D"/>
    <w:rsid w:val="00DF6E70"/>
    <w:rsid w:val="00DF7EC9"/>
    <w:rsid w:val="00E01FF8"/>
    <w:rsid w:val="00E02A7B"/>
    <w:rsid w:val="00E03063"/>
    <w:rsid w:val="00E032B0"/>
    <w:rsid w:val="00E03BE8"/>
    <w:rsid w:val="00E046E0"/>
    <w:rsid w:val="00E04A06"/>
    <w:rsid w:val="00E0503A"/>
    <w:rsid w:val="00E054A3"/>
    <w:rsid w:val="00E05638"/>
    <w:rsid w:val="00E06502"/>
    <w:rsid w:val="00E06688"/>
    <w:rsid w:val="00E07388"/>
    <w:rsid w:val="00E077FB"/>
    <w:rsid w:val="00E07EC2"/>
    <w:rsid w:val="00E07F87"/>
    <w:rsid w:val="00E1025A"/>
    <w:rsid w:val="00E104AC"/>
    <w:rsid w:val="00E1126A"/>
    <w:rsid w:val="00E11489"/>
    <w:rsid w:val="00E11809"/>
    <w:rsid w:val="00E12102"/>
    <w:rsid w:val="00E12985"/>
    <w:rsid w:val="00E12E9C"/>
    <w:rsid w:val="00E12F58"/>
    <w:rsid w:val="00E131A6"/>
    <w:rsid w:val="00E13581"/>
    <w:rsid w:val="00E13AE8"/>
    <w:rsid w:val="00E13BAF"/>
    <w:rsid w:val="00E14658"/>
    <w:rsid w:val="00E151A6"/>
    <w:rsid w:val="00E161C3"/>
    <w:rsid w:val="00E17278"/>
    <w:rsid w:val="00E1751D"/>
    <w:rsid w:val="00E17CB9"/>
    <w:rsid w:val="00E207BB"/>
    <w:rsid w:val="00E20D8C"/>
    <w:rsid w:val="00E213FA"/>
    <w:rsid w:val="00E215BC"/>
    <w:rsid w:val="00E21746"/>
    <w:rsid w:val="00E22643"/>
    <w:rsid w:val="00E22B93"/>
    <w:rsid w:val="00E22BAE"/>
    <w:rsid w:val="00E22E6E"/>
    <w:rsid w:val="00E2301F"/>
    <w:rsid w:val="00E23247"/>
    <w:rsid w:val="00E27AEF"/>
    <w:rsid w:val="00E27EFA"/>
    <w:rsid w:val="00E305C6"/>
    <w:rsid w:val="00E3080C"/>
    <w:rsid w:val="00E30937"/>
    <w:rsid w:val="00E31731"/>
    <w:rsid w:val="00E31EAF"/>
    <w:rsid w:val="00E321C0"/>
    <w:rsid w:val="00E324C7"/>
    <w:rsid w:val="00E325A4"/>
    <w:rsid w:val="00E3263D"/>
    <w:rsid w:val="00E326FD"/>
    <w:rsid w:val="00E32DCB"/>
    <w:rsid w:val="00E32F4B"/>
    <w:rsid w:val="00E33353"/>
    <w:rsid w:val="00E3412C"/>
    <w:rsid w:val="00E34826"/>
    <w:rsid w:val="00E34FC1"/>
    <w:rsid w:val="00E35120"/>
    <w:rsid w:val="00E3582C"/>
    <w:rsid w:val="00E35EF2"/>
    <w:rsid w:val="00E37010"/>
    <w:rsid w:val="00E3740D"/>
    <w:rsid w:val="00E4056A"/>
    <w:rsid w:val="00E40789"/>
    <w:rsid w:val="00E41AA4"/>
    <w:rsid w:val="00E41DC6"/>
    <w:rsid w:val="00E42055"/>
    <w:rsid w:val="00E424D7"/>
    <w:rsid w:val="00E44526"/>
    <w:rsid w:val="00E4496F"/>
    <w:rsid w:val="00E4499C"/>
    <w:rsid w:val="00E44B0F"/>
    <w:rsid w:val="00E44E97"/>
    <w:rsid w:val="00E455AA"/>
    <w:rsid w:val="00E455AF"/>
    <w:rsid w:val="00E469BF"/>
    <w:rsid w:val="00E46EC3"/>
    <w:rsid w:val="00E470D5"/>
    <w:rsid w:val="00E473ED"/>
    <w:rsid w:val="00E52133"/>
    <w:rsid w:val="00E52203"/>
    <w:rsid w:val="00E52CB4"/>
    <w:rsid w:val="00E53A2A"/>
    <w:rsid w:val="00E54A5C"/>
    <w:rsid w:val="00E55873"/>
    <w:rsid w:val="00E5655B"/>
    <w:rsid w:val="00E5717C"/>
    <w:rsid w:val="00E57572"/>
    <w:rsid w:val="00E57F06"/>
    <w:rsid w:val="00E6027A"/>
    <w:rsid w:val="00E60DB8"/>
    <w:rsid w:val="00E60ECC"/>
    <w:rsid w:val="00E61158"/>
    <w:rsid w:val="00E614F3"/>
    <w:rsid w:val="00E61AB1"/>
    <w:rsid w:val="00E61C65"/>
    <w:rsid w:val="00E61CEF"/>
    <w:rsid w:val="00E62671"/>
    <w:rsid w:val="00E629BB"/>
    <w:rsid w:val="00E62A7F"/>
    <w:rsid w:val="00E6347E"/>
    <w:rsid w:val="00E63813"/>
    <w:rsid w:val="00E63D7E"/>
    <w:rsid w:val="00E64515"/>
    <w:rsid w:val="00E64BB2"/>
    <w:rsid w:val="00E65D8E"/>
    <w:rsid w:val="00E65F09"/>
    <w:rsid w:val="00E663BE"/>
    <w:rsid w:val="00E669B0"/>
    <w:rsid w:val="00E671FA"/>
    <w:rsid w:val="00E67437"/>
    <w:rsid w:val="00E678DE"/>
    <w:rsid w:val="00E7154F"/>
    <w:rsid w:val="00E71774"/>
    <w:rsid w:val="00E717C7"/>
    <w:rsid w:val="00E71A45"/>
    <w:rsid w:val="00E71F89"/>
    <w:rsid w:val="00E720AA"/>
    <w:rsid w:val="00E72C0E"/>
    <w:rsid w:val="00E73257"/>
    <w:rsid w:val="00E73367"/>
    <w:rsid w:val="00E74798"/>
    <w:rsid w:val="00E74FBD"/>
    <w:rsid w:val="00E752BD"/>
    <w:rsid w:val="00E756FA"/>
    <w:rsid w:val="00E75CC8"/>
    <w:rsid w:val="00E76A6A"/>
    <w:rsid w:val="00E76CFC"/>
    <w:rsid w:val="00E77371"/>
    <w:rsid w:val="00E77B0A"/>
    <w:rsid w:val="00E806D9"/>
    <w:rsid w:val="00E81128"/>
    <w:rsid w:val="00E81A36"/>
    <w:rsid w:val="00E81C6F"/>
    <w:rsid w:val="00E82688"/>
    <w:rsid w:val="00E82BBA"/>
    <w:rsid w:val="00E82E13"/>
    <w:rsid w:val="00E82F94"/>
    <w:rsid w:val="00E843A9"/>
    <w:rsid w:val="00E846E3"/>
    <w:rsid w:val="00E848B8"/>
    <w:rsid w:val="00E875A4"/>
    <w:rsid w:val="00E877AF"/>
    <w:rsid w:val="00E87938"/>
    <w:rsid w:val="00E87B6C"/>
    <w:rsid w:val="00E87EFE"/>
    <w:rsid w:val="00E905B7"/>
    <w:rsid w:val="00E91CA1"/>
    <w:rsid w:val="00E92E65"/>
    <w:rsid w:val="00E92E8F"/>
    <w:rsid w:val="00E93192"/>
    <w:rsid w:val="00E93206"/>
    <w:rsid w:val="00E939C0"/>
    <w:rsid w:val="00E93BA5"/>
    <w:rsid w:val="00E95014"/>
    <w:rsid w:val="00E9520E"/>
    <w:rsid w:val="00E95265"/>
    <w:rsid w:val="00EA0189"/>
    <w:rsid w:val="00EA09C6"/>
    <w:rsid w:val="00EA0F4E"/>
    <w:rsid w:val="00EA194C"/>
    <w:rsid w:val="00EA19F7"/>
    <w:rsid w:val="00EA22D6"/>
    <w:rsid w:val="00EA25CC"/>
    <w:rsid w:val="00EA3EC8"/>
    <w:rsid w:val="00EA419D"/>
    <w:rsid w:val="00EA4E17"/>
    <w:rsid w:val="00EA510D"/>
    <w:rsid w:val="00EA5350"/>
    <w:rsid w:val="00EA62C6"/>
    <w:rsid w:val="00EA6554"/>
    <w:rsid w:val="00EA729F"/>
    <w:rsid w:val="00EA7EC4"/>
    <w:rsid w:val="00EB0E15"/>
    <w:rsid w:val="00EB3B02"/>
    <w:rsid w:val="00EB41C4"/>
    <w:rsid w:val="00EB5926"/>
    <w:rsid w:val="00EB6A63"/>
    <w:rsid w:val="00EB7027"/>
    <w:rsid w:val="00EB7F2B"/>
    <w:rsid w:val="00EC079D"/>
    <w:rsid w:val="00EC173B"/>
    <w:rsid w:val="00EC2833"/>
    <w:rsid w:val="00EC2C03"/>
    <w:rsid w:val="00EC2E73"/>
    <w:rsid w:val="00EC308B"/>
    <w:rsid w:val="00EC3106"/>
    <w:rsid w:val="00EC3C81"/>
    <w:rsid w:val="00EC4D30"/>
    <w:rsid w:val="00EC54AF"/>
    <w:rsid w:val="00EC5A77"/>
    <w:rsid w:val="00EC5C07"/>
    <w:rsid w:val="00ED13E3"/>
    <w:rsid w:val="00ED1E41"/>
    <w:rsid w:val="00ED2222"/>
    <w:rsid w:val="00ED2945"/>
    <w:rsid w:val="00ED305E"/>
    <w:rsid w:val="00ED45E2"/>
    <w:rsid w:val="00ED4C03"/>
    <w:rsid w:val="00ED6662"/>
    <w:rsid w:val="00ED77F9"/>
    <w:rsid w:val="00ED7B3A"/>
    <w:rsid w:val="00ED7BB5"/>
    <w:rsid w:val="00EE00CD"/>
    <w:rsid w:val="00EE1861"/>
    <w:rsid w:val="00EE1997"/>
    <w:rsid w:val="00EE1C83"/>
    <w:rsid w:val="00EE1CE4"/>
    <w:rsid w:val="00EE1FA4"/>
    <w:rsid w:val="00EE40BA"/>
    <w:rsid w:val="00EE4392"/>
    <w:rsid w:val="00EE4EC9"/>
    <w:rsid w:val="00EE5EB8"/>
    <w:rsid w:val="00EE6E2D"/>
    <w:rsid w:val="00EE72AC"/>
    <w:rsid w:val="00EE77C0"/>
    <w:rsid w:val="00EE7B2F"/>
    <w:rsid w:val="00EE7D57"/>
    <w:rsid w:val="00EF02FD"/>
    <w:rsid w:val="00EF0716"/>
    <w:rsid w:val="00EF2222"/>
    <w:rsid w:val="00EF23B3"/>
    <w:rsid w:val="00EF29E6"/>
    <w:rsid w:val="00EF2EC4"/>
    <w:rsid w:val="00EF40EB"/>
    <w:rsid w:val="00EF4684"/>
    <w:rsid w:val="00EF5081"/>
    <w:rsid w:val="00EF51B9"/>
    <w:rsid w:val="00EF58DC"/>
    <w:rsid w:val="00EF5938"/>
    <w:rsid w:val="00EF63BB"/>
    <w:rsid w:val="00EF6DA8"/>
    <w:rsid w:val="00EF7327"/>
    <w:rsid w:val="00F002FC"/>
    <w:rsid w:val="00F007E2"/>
    <w:rsid w:val="00F00826"/>
    <w:rsid w:val="00F0235A"/>
    <w:rsid w:val="00F02434"/>
    <w:rsid w:val="00F028CD"/>
    <w:rsid w:val="00F031A0"/>
    <w:rsid w:val="00F034E7"/>
    <w:rsid w:val="00F037F0"/>
    <w:rsid w:val="00F03AF4"/>
    <w:rsid w:val="00F03D12"/>
    <w:rsid w:val="00F03FDF"/>
    <w:rsid w:val="00F04F6C"/>
    <w:rsid w:val="00F05493"/>
    <w:rsid w:val="00F06A66"/>
    <w:rsid w:val="00F07053"/>
    <w:rsid w:val="00F0791A"/>
    <w:rsid w:val="00F1042C"/>
    <w:rsid w:val="00F13821"/>
    <w:rsid w:val="00F13ABC"/>
    <w:rsid w:val="00F14E5E"/>
    <w:rsid w:val="00F151AB"/>
    <w:rsid w:val="00F157E2"/>
    <w:rsid w:val="00F15D3A"/>
    <w:rsid w:val="00F16280"/>
    <w:rsid w:val="00F163AC"/>
    <w:rsid w:val="00F173D0"/>
    <w:rsid w:val="00F175B8"/>
    <w:rsid w:val="00F17E16"/>
    <w:rsid w:val="00F200E0"/>
    <w:rsid w:val="00F2040B"/>
    <w:rsid w:val="00F211D0"/>
    <w:rsid w:val="00F21490"/>
    <w:rsid w:val="00F21E53"/>
    <w:rsid w:val="00F22190"/>
    <w:rsid w:val="00F22399"/>
    <w:rsid w:val="00F22626"/>
    <w:rsid w:val="00F22714"/>
    <w:rsid w:val="00F2284D"/>
    <w:rsid w:val="00F22BAE"/>
    <w:rsid w:val="00F23656"/>
    <w:rsid w:val="00F24188"/>
    <w:rsid w:val="00F2420B"/>
    <w:rsid w:val="00F24C98"/>
    <w:rsid w:val="00F252FA"/>
    <w:rsid w:val="00F253D2"/>
    <w:rsid w:val="00F2661C"/>
    <w:rsid w:val="00F268BE"/>
    <w:rsid w:val="00F26C1D"/>
    <w:rsid w:val="00F26FB5"/>
    <w:rsid w:val="00F27A6C"/>
    <w:rsid w:val="00F30C0A"/>
    <w:rsid w:val="00F312FA"/>
    <w:rsid w:val="00F330B2"/>
    <w:rsid w:val="00F330BC"/>
    <w:rsid w:val="00F340E0"/>
    <w:rsid w:val="00F3477C"/>
    <w:rsid w:val="00F3654D"/>
    <w:rsid w:val="00F368EB"/>
    <w:rsid w:val="00F40BDE"/>
    <w:rsid w:val="00F40F25"/>
    <w:rsid w:val="00F413C9"/>
    <w:rsid w:val="00F41B92"/>
    <w:rsid w:val="00F41CF1"/>
    <w:rsid w:val="00F42462"/>
    <w:rsid w:val="00F42522"/>
    <w:rsid w:val="00F45019"/>
    <w:rsid w:val="00F4518A"/>
    <w:rsid w:val="00F45C91"/>
    <w:rsid w:val="00F46274"/>
    <w:rsid w:val="00F46B38"/>
    <w:rsid w:val="00F47045"/>
    <w:rsid w:val="00F4707A"/>
    <w:rsid w:val="00F4788A"/>
    <w:rsid w:val="00F47B89"/>
    <w:rsid w:val="00F50201"/>
    <w:rsid w:val="00F50495"/>
    <w:rsid w:val="00F50563"/>
    <w:rsid w:val="00F505DB"/>
    <w:rsid w:val="00F50886"/>
    <w:rsid w:val="00F50A9F"/>
    <w:rsid w:val="00F50ED0"/>
    <w:rsid w:val="00F5149B"/>
    <w:rsid w:val="00F514F5"/>
    <w:rsid w:val="00F517D0"/>
    <w:rsid w:val="00F52F34"/>
    <w:rsid w:val="00F530D6"/>
    <w:rsid w:val="00F53517"/>
    <w:rsid w:val="00F54A31"/>
    <w:rsid w:val="00F54F0E"/>
    <w:rsid w:val="00F5606D"/>
    <w:rsid w:val="00F56126"/>
    <w:rsid w:val="00F5623A"/>
    <w:rsid w:val="00F5676C"/>
    <w:rsid w:val="00F5731F"/>
    <w:rsid w:val="00F60427"/>
    <w:rsid w:val="00F60946"/>
    <w:rsid w:val="00F61A1C"/>
    <w:rsid w:val="00F62F5A"/>
    <w:rsid w:val="00F63BBC"/>
    <w:rsid w:val="00F63DA3"/>
    <w:rsid w:val="00F63E12"/>
    <w:rsid w:val="00F6401F"/>
    <w:rsid w:val="00F64032"/>
    <w:rsid w:val="00F6492A"/>
    <w:rsid w:val="00F65A25"/>
    <w:rsid w:val="00F65D6B"/>
    <w:rsid w:val="00F66B2D"/>
    <w:rsid w:val="00F66F0F"/>
    <w:rsid w:val="00F67A42"/>
    <w:rsid w:val="00F71A72"/>
    <w:rsid w:val="00F71F32"/>
    <w:rsid w:val="00F7244B"/>
    <w:rsid w:val="00F72AE4"/>
    <w:rsid w:val="00F73397"/>
    <w:rsid w:val="00F733FE"/>
    <w:rsid w:val="00F743BB"/>
    <w:rsid w:val="00F753E9"/>
    <w:rsid w:val="00F7588B"/>
    <w:rsid w:val="00F758CA"/>
    <w:rsid w:val="00F7594C"/>
    <w:rsid w:val="00F76A1A"/>
    <w:rsid w:val="00F76CEC"/>
    <w:rsid w:val="00F77087"/>
    <w:rsid w:val="00F7755C"/>
    <w:rsid w:val="00F803D5"/>
    <w:rsid w:val="00F80F97"/>
    <w:rsid w:val="00F817E6"/>
    <w:rsid w:val="00F83294"/>
    <w:rsid w:val="00F834DF"/>
    <w:rsid w:val="00F83FCA"/>
    <w:rsid w:val="00F849C4"/>
    <w:rsid w:val="00F84BDE"/>
    <w:rsid w:val="00F84D85"/>
    <w:rsid w:val="00F8507D"/>
    <w:rsid w:val="00F85627"/>
    <w:rsid w:val="00F85BED"/>
    <w:rsid w:val="00F871A5"/>
    <w:rsid w:val="00F87224"/>
    <w:rsid w:val="00F87EF6"/>
    <w:rsid w:val="00F9092F"/>
    <w:rsid w:val="00F913DB"/>
    <w:rsid w:val="00F9147C"/>
    <w:rsid w:val="00F91981"/>
    <w:rsid w:val="00F92832"/>
    <w:rsid w:val="00F92B05"/>
    <w:rsid w:val="00F92C1C"/>
    <w:rsid w:val="00F92D4C"/>
    <w:rsid w:val="00F93052"/>
    <w:rsid w:val="00F94764"/>
    <w:rsid w:val="00F9484F"/>
    <w:rsid w:val="00F948E2"/>
    <w:rsid w:val="00F94E96"/>
    <w:rsid w:val="00F9505C"/>
    <w:rsid w:val="00F95AA1"/>
    <w:rsid w:val="00F95B04"/>
    <w:rsid w:val="00F966F7"/>
    <w:rsid w:val="00F96DC9"/>
    <w:rsid w:val="00F974B2"/>
    <w:rsid w:val="00F974B8"/>
    <w:rsid w:val="00F9780C"/>
    <w:rsid w:val="00FA00C3"/>
    <w:rsid w:val="00FA0E83"/>
    <w:rsid w:val="00FA1A5A"/>
    <w:rsid w:val="00FA1D7C"/>
    <w:rsid w:val="00FA2A09"/>
    <w:rsid w:val="00FA2BB3"/>
    <w:rsid w:val="00FA38A5"/>
    <w:rsid w:val="00FA3EA3"/>
    <w:rsid w:val="00FA4354"/>
    <w:rsid w:val="00FA471E"/>
    <w:rsid w:val="00FA69A4"/>
    <w:rsid w:val="00FA6F0D"/>
    <w:rsid w:val="00FA7425"/>
    <w:rsid w:val="00FA751F"/>
    <w:rsid w:val="00FA7EC5"/>
    <w:rsid w:val="00FB0AE0"/>
    <w:rsid w:val="00FB1477"/>
    <w:rsid w:val="00FB18CD"/>
    <w:rsid w:val="00FB1BE4"/>
    <w:rsid w:val="00FB1F2D"/>
    <w:rsid w:val="00FB31BA"/>
    <w:rsid w:val="00FB34BC"/>
    <w:rsid w:val="00FB3A7B"/>
    <w:rsid w:val="00FB3BD6"/>
    <w:rsid w:val="00FB46BC"/>
    <w:rsid w:val="00FB6419"/>
    <w:rsid w:val="00FB6B73"/>
    <w:rsid w:val="00FB6CBB"/>
    <w:rsid w:val="00FB7911"/>
    <w:rsid w:val="00FB7988"/>
    <w:rsid w:val="00FC010D"/>
    <w:rsid w:val="00FC038A"/>
    <w:rsid w:val="00FC099B"/>
    <w:rsid w:val="00FC0A9F"/>
    <w:rsid w:val="00FC0C95"/>
    <w:rsid w:val="00FC2829"/>
    <w:rsid w:val="00FC3270"/>
    <w:rsid w:val="00FC35CE"/>
    <w:rsid w:val="00FC377C"/>
    <w:rsid w:val="00FC3CA1"/>
    <w:rsid w:val="00FC46D8"/>
    <w:rsid w:val="00FC4F8E"/>
    <w:rsid w:val="00FC5AD7"/>
    <w:rsid w:val="00FC6489"/>
    <w:rsid w:val="00FC684C"/>
    <w:rsid w:val="00FC6F26"/>
    <w:rsid w:val="00FC7C42"/>
    <w:rsid w:val="00FC7FF8"/>
    <w:rsid w:val="00FD0A71"/>
    <w:rsid w:val="00FD126C"/>
    <w:rsid w:val="00FD13D0"/>
    <w:rsid w:val="00FD19FD"/>
    <w:rsid w:val="00FD2394"/>
    <w:rsid w:val="00FD26A6"/>
    <w:rsid w:val="00FD27FE"/>
    <w:rsid w:val="00FD3824"/>
    <w:rsid w:val="00FD42FA"/>
    <w:rsid w:val="00FD4667"/>
    <w:rsid w:val="00FD5FEB"/>
    <w:rsid w:val="00FD672A"/>
    <w:rsid w:val="00FD68C6"/>
    <w:rsid w:val="00FD70E2"/>
    <w:rsid w:val="00FD7130"/>
    <w:rsid w:val="00FD75AF"/>
    <w:rsid w:val="00FD7E9B"/>
    <w:rsid w:val="00FE0B05"/>
    <w:rsid w:val="00FE0B80"/>
    <w:rsid w:val="00FE1102"/>
    <w:rsid w:val="00FE155E"/>
    <w:rsid w:val="00FE1EBD"/>
    <w:rsid w:val="00FE2277"/>
    <w:rsid w:val="00FE23B5"/>
    <w:rsid w:val="00FE2B8A"/>
    <w:rsid w:val="00FE2DB7"/>
    <w:rsid w:val="00FE3E75"/>
    <w:rsid w:val="00FE4889"/>
    <w:rsid w:val="00FE4DD1"/>
    <w:rsid w:val="00FE6439"/>
    <w:rsid w:val="00FE6796"/>
    <w:rsid w:val="00FE67E5"/>
    <w:rsid w:val="00FE6F74"/>
    <w:rsid w:val="00FE754D"/>
    <w:rsid w:val="00FF11E2"/>
    <w:rsid w:val="00FF1206"/>
    <w:rsid w:val="00FF1996"/>
    <w:rsid w:val="00FF1E51"/>
    <w:rsid w:val="00FF30DC"/>
    <w:rsid w:val="00FF3529"/>
    <w:rsid w:val="00FF3727"/>
    <w:rsid w:val="00FF3819"/>
    <w:rsid w:val="00FF3B0A"/>
    <w:rsid w:val="00FF470B"/>
    <w:rsid w:val="00FF4FF7"/>
    <w:rsid w:val="00FF57FD"/>
    <w:rsid w:val="00FF6336"/>
    <w:rsid w:val="00FF6770"/>
    <w:rsid w:val="00FF6AC6"/>
    <w:rsid w:val="00FF70FA"/>
    <w:rsid w:val="00FF719D"/>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paragraph" w:customStyle="1" w:styleId="paragraph">
    <w:name w:val="paragraph"/>
    <w:basedOn w:val="Normal"/>
    <w:rsid w:val="00C92B8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C92B81"/>
  </w:style>
  <w:style w:type="character" w:customStyle="1" w:styleId="eop">
    <w:name w:val="eop"/>
    <w:basedOn w:val="DefaultParagraphFont"/>
    <w:rsid w:val="00C92B81"/>
  </w:style>
  <w:style w:type="character" w:customStyle="1" w:styleId="ui-provider">
    <w:name w:val="ui-provider"/>
    <w:basedOn w:val="DefaultParagraphFont"/>
    <w:rsid w:val="009B3450"/>
  </w:style>
  <w:style w:type="character" w:customStyle="1" w:styleId="ListParagraphChar1">
    <w:name w:val="List Paragraph Char1"/>
    <w:uiPriority w:val="34"/>
    <w:qFormat/>
    <w:locked/>
    <w:rsid w:val="00A5367C"/>
    <w:rPr>
      <w:rFonts w:ascii="Times New Roman" w:eastAsia="Calibri" w:hAnsi="Times New Roman"/>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62608599">
      <w:bodyDiv w:val="1"/>
      <w:marLeft w:val="0"/>
      <w:marRight w:val="0"/>
      <w:marTop w:val="0"/>
      <w:marBottom w:val="0"/>
      <w:divBdr>
        <w:top w:val="none" w:sz="0" w:space="0" w:color="auto"/>
        <w:left w:val="none" w:sz="0" w:space="0" w:color="auto"/>
        <w:bottom w:val="none" w:sz="0" w:space="0" w:color="auto"/>
        <w:right w:val="none" w:sz="0" w:space="0" w:color="auto"/>
      </w:divBdr>
      <w:divsChild>
        <w:div w:id="1426536942">
          <w:marLeft w:val="821"/>
          <w:marRight w:val="0"/>
          <w:marTop w:val="120"/>
          <w:marBottom w:val="120"/>
          <w:divBdr>
            <w:top w:val="none" w:sz="0" w:space="0" w:color="auto"/>
            <w:left w:val="none" w:sz="0" w:space="0" w:color="auto"/>
            <w:bottom w:val="none" w:sz="0" w:space="0" w:color="auto"/>
            <w:right w:val="none" w:sz="0" w:space="0" w:color="auto"/>
          </w:divBdr>
        </w:div>
        <w:div w:id="1443300831">
          <w:marLeft w:val="821"/>
          <w:marRight w:val="0"/>
          <w:marTop w:val="120"/>
          <w:marBottom w:val="120"/>
          <w:divBdr>
            <w:top w:val="none" w:sz="0" w:space="0" w:color="auto"/>
            <w:left w:val="none" w:sz="0" w:space="0" w:color="auto"/>
            <w:bottom w:val="none" w:sz="0" w:space="0" w:color="auto"/>
            <w:right w:val="none" w:sz="0" w:space="0" w:color="auto"/>
          </w:divBdr>
        </w:div>
        <w:div w:id="1912881580">
          <w:marLeft w:val="547"/>
          <w:marRight w:val="0"/>
          <w:marTop w:val="120"/>
          <w:marBottom w:val="120"/>
          <w:divBdr>
            <w:top w:val="none" w:sz="0" w:space="0" w:color="auto"/>
            <w:left w:val="none" w:sz="0" w:space="0" w:color="auto"/>
            <w:bottom w:val="none" w:sz="0" w:space="0" w:color="auto"/>
            <w:right w:val="none" w:sz="0" w:space="0" w:color="auto"/>
          </w:divBdr>
        </w:div>
      </w:divsChild>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91901459">
      <w:bodyDiv w:val="1"/>
      <w:marLeft w:val="0"/>
      <w:marRight w:val="0"/>
      <w:marTop w:val="0"/>
      <w:marBottom w:val="0"/>
      <w:divBdr>
        <w:top w:val="none" w:sz="0" w:space="0" w:color="auto"/>
        <w:left w:val="none" w:sz="0" w:space="0" w:color="auto"/>
        <w:bottom w:val="none" w:sz="0" w:space="0" w:color="auto"/>
        <w:right w:val="none" w:sz="0" w:space="0" w:color="auto"/>
      </w:divBdr>
      <w:divsChild>
        <w:div w:id="1310792392">
          <w:marLeft w:val="0"/>
          <w:marRight w:val="0"/>
          <w:marTop w:val="120"/>
          <w:marBottom w:val="120"/>
          <w:divBdr>
            <w:top w:val="none" w:sz="0" w:space="0" w:color="auto"/>
            <w:left w:val="none" w:sz="0" w:space="0" w:color="auto"/>
            <w:bottom w:val="none" w:sz="0" w:space="0" w:color="auto"/>
            <w:right w:val="none" w:sz="0" w:space="0" w:color="auto"/>
          </w:divBdr>
        </w:div>
      </w:divsChild>
    </w:div>
    <w:div w:id="96290964">
      <w:bodyDiv w:val="1"/>
      <w:marLeft w:val="0"/>
      <w:marRight w:val="0"/>
      <w:marTop w:val="0"/>
      <w:marBottom w:val="0"/>
      <w:divBdr>
        <w:top w:val="none" w:sz="0" w:space="0" w:color="auto"/>
        <w:left w:val="none" w:sz="0" w:space="0" w:color="auto"/>
        <w:bottom w:val="none" w:sz="0" w:space="0" w:color="auto"/>
        <w:right w:val="none" w:sz="0" w:space="0" w:color="auto"/>
      </w:divBdr>
      <w:divsChild>
        <w:div w:id="1895845757">
          <w:marLeft w:val="274"/>
          <w:marRight w:val="0"/>
          <w:marTop w:val="180"/>
          <w:marBottom w:val="60"/>
          <w:divBdr>
            <w:top w:val="none" w:sz="0" w:space="0" w:color="auto"/>
            <w:left w:val="none" w:sz="0" w:space="0" w:color="auto"/>
            <w:bottom w:val="none" w:sz="0" w:space="0" w:color="auto"/>
            <w:right w:val="none" w:sz="0" w:space="0" w:color="auto"/>
          </w:divBdr>
        </w:div>
      </w:divsChild>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1601025">
      <w:bodyDiv w:val="1"/>
      <w:marLeft w:val="0"/>
      <w:marRight w:val="0"/>
      <w:marTop w:val="0"/>
      <w:marBottom w:val="0"/>
      <w:divBdr>
        <w:top w:val="none" w:sz="0" w:space="0" w:color="auto"/>
        <w:left w:val="none" w:sz="0" w:space="0" w:color="auto"/>
        <w:bottom w:val="none" w:sz="0" w:space="0" w:color="auto"/>
        <w:right w:val="none" w:sz="0" w:space="0" w:color="auto"/>
      </w:divBdr>
      <w:divsChild>
        <w:div w:id="1841920672">
          <w:marLeft w:val="1166"/>
          <w:marRight w:val="0"/>
          <w:marTop w:val="120"/>
          <w:marBottom w:val="120"/>
          <w:divBdr>
            <w:top w:val="none" w:sz="0" w:space="0" w:color="auto"/>
            <w:left w:val="none" w:sz="0" w:space="0" w:color="auto"/>
            <w:bottom w:val="none" w:sz="0" w:space="0" w:color="auto"/>
            <w:right w:val="none" w:sz="0" w:space="0" w:color="auto"/>
          </w:divBdr>
        </w:div>
      </w:divsChild>
    </w:div>
    <w:div w:id="221529816">
      <w:bodyDiv w:val="1"/>
      <w:marLeft w:val="0"/>
      <w:marRight w:val="0"/>
      <w:marTop w:val="0"/>
      <w:marBottom w:val="0"/>
      <w:divBdr>
        <w:top w:val="none" w:sz="0" w:space="0" w:color="auto"/>
        <w:left w:val="none" w:sz="0" w:space="0" w:color="auto"/>
        <w:bottom w:val="none" w:sz="0" w:space="0" w:color="auto"/>
        <w:right w:val="none" w:sz="0" w:space="0" w:color="auto"/>
      </w:divBdr>
      <w:divsChild>
        <w:div w:id="1391729288">
          <w:marLeft w:val="547"/>
          <w:marRight w:val="0"/>
          <w:marTop w:val="0"/>
          <w:marBottom w:val="0"/>
          <w:divBdr>
            <w:top w:val="none" w:sz="0" w:space="0" w:color="auto"/>
            <w:left w:val="none" w:sz="0" w:space="0" w:color="auto"/>
            <w:bottom w:val="none" w:sz="0" w:space="0" w:color="auto"/>
            <w:right w:val="none" w:sz="0" w:space="0" w:color="auto"/>
          </w:divBdr>
        </w:div>
        <w:div w:id="2087800390">
          <w:marLeft w:val="547"/>
          <w:marRight w:val="0"/>
          <w:marTop w:val="0"/>
          <w:marBottom w:val="120"/>
          <w:divBdr>
            <w:top w:val="none" w:sz="0" w:space="0" w:color="auto"/>
            <w:left w:val="none" w:sz="0" w:space="0" w:color="auto"/>
            <w:bottom w:val="none" w:sz="0" w:space="0" w:color="auto"/>
            <w:right w:val="none" w:sz="0" w:space="0" w:color="auto"/>
          </w:divBdr>
        </w:div>
        <w:div w:id="2066945164">
          <w:marLeft w:val="547"/>
          <w:marRight w:val="0"/>
          <w:marTop w:val="0"/>
          <w:marBottom w:val="0"/>
          <w:divBdr>
            <w:top w:val="none" w:sz="0" w:space="0" w:color="auto"/>
            <w:left w:val="none" w:sz="0" w:space="0" w:color="auto"/>
            <w:bottom w:val="none" w:sz="0" w:space="0" w:color="auto"/>
            <w:right w:val="none" w:sz="0" w:space="0" w:color="auto"/>
          </w:divBdr>
        </w:div>
        <w:div w:id="1759403923">
          <w:marLeft w:val="1166"/>
          <w:marRight w:val="0"/>
          <w:marTop w:val="0"/>
          <w:marBottom w:val="0"/>
          <w:divBdr>
            <w:top w:val="none" w:sz="0" w:space="0" w:color="auto"/>
            <w:left w:val="none" w:sz="0" w:space="0" w:color="auto"/>
            <w:bottom w:val="none" w:sz="0" w:space="0" w:color="auto"/>
            <w:right w:val="none" w:sz="0" w:space="0" w:color="auto"/>
          </w:divBdr>
        </w:div>
        <w:div w:id="2079742815">
          <w:marLeft w:val="547"/>
          <w:marRight w:val="0"/>
          <w:marTop w:val="120"/>
          <w:marBottom w:val="0"/>
          <w:divBdr>
            <w:top w:val="none" w:sz="0" w:space="0" w:color="auto"/>
            <w:left w:val="none" w:sz="0" w:space="0" w:color="auto"/>
            <w:bottom w:val="none" w:sz="0" w:space="0" w:color="auto"/>
            <w:right w:val="none" w:sz="0" w:space="0" w:color="auto"/>
          </w:divBdr>
        </w:div>
        <w:div w:id="1139686087">
          <w:marLeft w:val="547"/>
          <w:marRight w:val="0"/>
          <w:marTop w:val="0"/>
          <w:marBottom w:val="0"/>
          <w:divBdr>
            <w:top w:val="none" w:sz="0" w:space="0" w:color="auto"/>
            <w:left w:val="none" w:sz="0" w:space="0" w:color="auto"/>
            <w:bottom w:val="none" w:sz="0" w:space="0" w:color="auto"/>
            <w:right w:val="none" w:sz="0" w:space="0" w:color="auto"/>
          </w:divBdr>
        </w:div>
      </w:divsChild>
    </w:div>
    <w:div w:id="225605480">
      <w:bodyDiv w:val="1"/>
      <w:marLeft w:val="0"/>
      <w:marRight w:val="0"/>
      <w:marTop w:val="0"/>
      <w:marBottom w:val="0"/>
      <w:divBdr>
        <w:top w:val="none" w:sz="0" w:space="0" w:color="auto"/>
        <w:left w:val="none" w:sz="0" w:space="0" w:color="auto"/>
        <w:bottom w:val="none" w:sz="0" w:space="0" w:color="auto"/>
        <w:right w:val="none" w:sz="0" w:space="0" w:color="auto"/>
      </w:divBdr>
      <w:divsChild>
        <w:div w:id="816922326">
          <w:marLeft w:val="446"/>
          <w:marRight w:val="0"/>
          <w:marTop w:val="0"/>
          <w:marBottom w:val="0"/>
          <w:divBdr>
            <w:top w:val="none" w:sz="0" w:space="0" w:color="auto"/>
            <w:left w:val="none" w:sz="0" w:space="0" w:color="auto"/>
            <w:bottom w:val="none" w:sz="0" w:space="0" w:color="auto"/>
            <w:right w:val="none" w:sz="0" w:space="0" w:color="auto"/>
          </w:divBdr>
        </w:div>
        <w:div w:id="850799481">
          <w:marLeft w:val="446"/>
          <w:marRight w:val="0"/>
          <w:marTop w:val="0"/>
          <w:marBottom w:val="0"/>
          <w:divBdr>
            <w:top w:val="none" w:sz="0" w:space="0" w:color="auto"/>
            <w:left w:val="none" w:sz="0" w:space="0" w:color="auto"/>
            <w:bottom w:val="none" w:sz="0" w:space="0" w:color="auto"/>
            <w:right w:val="none" w:sz="0" w:space="0" w:color="auto"/>
          </w:divBdr>
        </w:div>
        <w:div w:id="1560749189">
          <w:marLeft w:val="446"/>
          <w:marRight w:val="0"/>
          <w:marTop w:val="0"/>
          <w:marBottom w:val="0"/>
          <w:divBdr>
            <w:top w:val="none" w:sz="0" w:space="0" w:color="auto"/>
            <w:left w:val="none" w:sz="0" w:space="0" w:color="auto"/>
            <w:bottom w:val="none" w:sz="0" w:space="0" w:color="auto"/>
            <w:right w:val="none" w:sz="0" w:space="0" w:color="auto"/>
          </w:divBdr>
        </w:div>
      </w:divsChild>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50705510">
      <w:bodyDiv w:val="1"/>
      <w:marLeft w:val="0"/>
      <w:marRight w:val="0"/>
      <w:marTop w:val="0"/>
      <w:marBottom w:val="0"/>
      <w:divBdr>
        <w:top w:val="none" w:sz="0" w:space="0" w:color="auto"/>
        <w:left w:val="none" w:sz="0" w:space="0" w:color="auto"/>
        <w:bottom w:val="none" w:sz="0" w:space="0" w:color="auto"/>
        <w:right w:val="none" w:sz="0" w:space="0" w:color="auto"/>
      </w:divBdr>
      <w:divsChild>
        <w:div w:id="864757336">
          <w:marLeft w:val="562"/>
          <w:marRight w:val="0"/>
          <w:marTop w:val="0"/>
          <w:marBottom w:val="0"/>
          <w:divBdr>
            <w:top w:val="none" w:sz="0" w:space="0" w:color="auto"/>
            <w:left w:val="none" w:sz="0" w:space="0" w:color="auto"/>
            <w:bottom w:val="none" w:sz="0" w:space="0" w:color="auto"/>
            <w:right w:val="none" w:sz="0" w:space="0" w:color="auto"/>
          </w:divBdr>
        </w:div>
        <w:div w:id="998534033">
          <w:marLeft w:val="821"/>
          <w:marRight w:val="0"/>
          <w:marTop w:val="0"/>
          <w:marBottom w:val="0"/>
          <w:divBdr>
            <w:top w:val="none" w:sz="0" w:space="0" w:color="auto"/>
            <w:left w:val="none" w:sz="0" w:space="0" w:color="auto"/>
            <w:bottom w:val="none" w:sz="0" w:space="0" w:color="auto"/>
            <w:right w:val="none" w:sz="0" w:space="0" w:color="auto"/>
          </w:divBdr>
        </w:div>
        <w:div w:id="1252817086">
          <w:marLeft w:val="562"/>
          <w:marRight w:val="0"/>
          <w:marTop w:val="0"/>
          <w:marBottom w:val="0"/>
          <w:divBdr>
            <w:top w:val="none" w:sz="0" w:space="0" w:color="auto"/>
            <w:left w:val="none" w:sz="0" w:space="0" w:color="auto"/>
            <w:bottom w:val="none" w:sz="0" w:space="0" w:color="auto"/>
            <w:right w:val="none" w:sz="0" w:space="0" w:color="auto"/>
          </w:divBdr>
        </w:div>
        <w:div w:id="1403018682">
          <w:marLeft w:val="821"/>
          <w:marRight w:val="0"/>
          <w:marTop w:val="0"/>
          <w:marBottom w:val="0"/>
          <w:divBdr>
            <w:top w:val="none" w:sz="0" w:space="0" w:color="auto"/>
            <w:left w:val="none" w:sz="0" w:space="0" w:color="auto"/>
            <w:bottom w:val="none" w:sz="0" w:space="0" w:color="auto"/>
            <w:right w:val="none" w:sz="0" w:space="0" w:color="auto"/>
          </w:divBdr>
        </w:div>
        <w:div w:id="1997956762">
          <w:marLeft w:val="216"/>
          <w:marRight w:val="0"/>
          <w:marTop w:val="240"/>
          <w:marBottom w:val="0"/>
          <w:divBdr>
            <w:top w:val="none" w:sz="0" w:space="0" w:color="auto"/>
            <w:left w:val="none" w:sz="0" w:space="0" w:color="auto"/>
            <w:bottom w:val="none" w:sz="0" w:space="0" w:color="auto"/>
            <w:right w:val="none" w:sz="0" w:space="0" w:color="auto"/>
          </w:divBdr>
        </w:div>
        <w:div w:id="2145466422">
          <w:marLeft w:val="821"/>
          <w:marRight w:val="0"/>
          <w:marTop w:val="0"/>
          <w:marBottom w:val="0"/>
          <w:divBdr>
            <w:top w:val="none" w:sz="0" w:space="0" w:color="auto"/>
            <w:left w:val="none" w:sz="0" w:space="0" w:color="auto"/>
            <w:bottom w:val="none" w:sz="0" w:space="0" w:color="auto"/>
            <w:right w:val="none" w:sz="0" w:space="0" w:color="auto"/>
          </w:divBdr>
        </w:div>
      </w:divsChild>
    </w:div>
    <w:div w:id="258948676">
      <w:bodyDiv w:val="1"/>
      <w:marLeft w:val="0"/>
      <w:marRight w:val="0"/>
      <w:marTop w:val="0"/>
      <w:marBottom w:val="0"/>
      <w:divBdr>
        <w:top w:val="none" w:sz="0" w:space="0" w:color="auto"/>
        <w:left w:val="none" w:sz="0" w:space="0" w:color="auto"/>
        <w:bottom w:val="none" w:sz="0" w:space="0" w:color="auto"/>
        <w:right w:val="none" w:sz="0" w:space="0" w:color="auto"/>
      </w:divBdr>
    </w:div>
    <w:div w:id="262227978">
      <w:bodyDiv w:val="1"/>
      <w:marLeft w:val="0"/>
      <w:marRight w:val="0"/>
      <w:marTop w:val="0"/>
      <w:marBottom w:val="0"/>
      <w:divBdr>
        <w:top w:val="none" w:sz="0" w:space="0" w:color="auto"/>
        <w:left w:val="none" w:sz="0" w:space="0" w:color="auto"/>
        <w:bottom w:val="none" w:sz="0" w:space="0" w:color="auto"/>
        <w:right w:val="none" w:sz="0" w:space="0" w:color="auto"/>
      </w:divBdr>
      <w:divsChild>
        <w:div w:id="316232120">
          <w:marLeft w:val="562"/>
          <w:marRight w:val="0"/>
          <w:marTop w:val="0"/>
          <w:marBottom w:val="0"/>
          <w:divBdr>
            <w:top w:val="none" w:sz="0" w:space="0" w:color="auto"/>
            <w:left w:val="none" w:sz="0" w:space="0" w:color="auto"/>
            <w:bottom w:val="none" w:sz="0" w:space="0" w:color="auto"/>
            <w:right w:val="none" w:sz="0" w:space="0" w:color="auto"/>
          </w:divBdr>
        </w:div>
        <w:div w:id="606692525">
          <w:marLeft w:val="216"/>
          <w:marRight w:val="0"/>
          <w:marTop w:val="240"/>
          <w:marBottom w:val="0"/>
          <w:divBdr>
            <w:top w:val="none" w:sz="0" w:space="0" w:color="auto"/>
            <w:left w:val="none" w:sz="0" w:space="0" w:color="auto"/>
            <w:bottom w:val="none" w:sz="0" w:space="0" w:color="auto"/>
            <w:right w:val="none" w:sz="0" w:space="0" w:color="auto"/>
          </w:divBdr>
        </w:div>
        <w:div w:id="654604740">
          <w:marLeft w:val="216"/>
          <w:marRight w:val="0"/>
          <w:marTop w:val="240"/>
          <w:marBottom w:val="0"/>
          <w:divBdr>
            <w:top w:val="none" w:sz="0" w:space="0" w:color="auto"/>
            <w:left w:val="none" w:sz="0" w:space="0" w:color="auto"/>
            <w:bottom w:val="none" w:sz="0" w:space="0" w:color="auto"/>
            <w:right w:val="none" w:sz="0" w:space="0" w:color="auto"/>
          </w:divBdr>
        </w:div>
        <w:div w:id="1117408393">
          <w:marLeft w:val="216"/>
          <w:marRight w:val="0"/>
          <w:marTop w:val="240"/>
          <w:marBottom w:val="0"/>
          <w:divBdr>
            <w:top w:val="none" w:sz="0" w:space="0" w:color="auto"/>
            <w:left w:val="none" w:sz="0" w:space="0" w:color="auto"/>
            <w:bottom w:val="none" w:sz="0" w:space="0" w:color="auto"/>
            <w:right w:val="none" w:sz="0" w:space="0" w:color="auto"/>
          </w:divBdr>
        </w:div>
        <w:div w:id="1391801837">
          <w:marLeft w:val="562"/>
          <w:marRight w:val="0"/>
          <w:marTop w:val="0"/>
          <w:marBottom w:val="0"/>
          <w:divBdr>
            <w:top w:val="none" w:sz="0" w:space="0" w:color="auto"/>
            <w:left w:val="none" w:sz="0" w:space="0" w:color="auto"/>
            <w:bottom w:val="none" w:sz="0" w:space="0" w:color="auto"/>
            <w:right w:val="none" w:sz="0" w:space="0" w:color="auto"/>
          </w:divBdr>
        </w:div>
        <w:div w:id="2034264149">
          <w:marLeft w:val="562"/>
          <w:marRight w:val="0"/>
          <w:marTop w:val="0"/>
          <w:marBottom w:val="0"/>
          <w:divBdr>
            <w:top w:val="none" w:sz="0" w:space="0" w:color="auto"/>
            <w:left w:val="none" w:sz="0" w:space="0" w:color="auto"/>
            <w:bottom w:val="none" w:sz="0" w:space="0" w:color="auto"/>
            <w:right w:val="none" w:sz="0" w:space="0" w:color="auto"/>
          </w:divBdr>
        </w:div>
      </w:divsChild>
    </w:div>
    <w:div w:id="295648034">
      <w:bodyDiv w:val="1"/>
      <w:marLeft w:val="0"/>
      <w:marRight w:val="0"/>
      <w:marTop w:val="0"/>
      <w:marBottom w:val="0"/>
      <w:divBdr>
        <w:top w:val="none" w:sz="0" w:space="0" w:color="auto"/>
        <w:left w:val="none" w:sz="0" w:space="0" w:color="auto"/>
        <w:bottom w:val="none" w:sz="0" w:space="0" w:color="auto"/>
        <w:right w:val="none" w:sz="0" w:space="0" w:color="auto"/>
      </w:divBdr>
      <w:divsChild>
        <w:div w:id="284043977">
          <w:marLeft w:val="547"/>
          <w:marRight w:val="0"/>
          <w:marTop w:val="0"/>
          <w:marBottom w:val="120"/>
          <w:divBdr>
            <w:top w:val="none" w:sz="0" w:space="0" w:color="auto"/>
            <w:left w:val="none" w:sz="0" w:space="0" w:color="auto"/>
            <w:bottom w:val="none" w:sz="0" w:space="0" w:color="auto"/>
            <w:right w:val="none" w:sz="0" w:space="0" w:color="auto"/>
          </w:divBdr>
        </w:div>
        <w:div w:id="1945112301">
          <w:marLeft w:val="1166"/>
          <w:marRight w:val="0"/>
          <w:marTop w:val="0"/>
          <w:marBottom w:val="0"/>
          <w:divBdr>
            <w:top w:val="none" w:sz="0" w:space="0" w:color="auto"/>
            <w:left w:val="none" w:sz="0" w:space="0" w:color="auto"/>
            <w:bottom w:val="none" w:sz="0" w:space="0" w:color="auto"/>
            <w:right w:val="none" w:sz="0" w:space="0" w:color="auto"/>
          </w:divBdr>
        </w:div>
        <w:div w:id="760491460">
          <w:marLeft w:val="1166"/>
          <w:marRight w:val="0"/>
          <w:marTop w:val="120"/>
          <w:marBottom w:val="0"/>
          <w:divBdr>
            <w:top w:val="none" w:sz="0" w:space="0" w:color="auto"/>
            <w:left w:val="none" w:sz="0" w:space="0" w:color="auto"/>
            <w:bottom w:val="none" w:sz="0" w:space="0" w:color="auto"/>
            <w:right w:val="none" w:sz="0" w:space="0" w:color="auto"/>
          </w:divBdr>
        </w:div>
        <w:div w:id="1026061130">
          <w:marLeft w:val="547"/>
          <w:marRight w:val="0"/>
          <w:marTop w:val="0"/>
          <w:marBottom w:val="120"/>
          <w:divBdr>
            <w:top w:val="none" w:sz="0" w:space="0" w:color="auto"/>
            <w:left w:val="none" w:sz="0" w:space="0" w:color="auto"/>
            <w:bottom w:val="none" w:sz="0" w:space="0" w:color="auto"/>
            <w:right w:val="none" w:sz="0" w:space="0" w:color="auto"/>
          </w:divBdr>
        </w:div>
      </w:divsChild>
    </w:div>
    <w:div w:id="298194642">
      <w:bodyDiv w:val="1"/>
      <w:marLeft w:val="0"/>
      <w:marRight w:val="0"/>
      <w:marTop w:val="0"/>
      <w:marBottom w:val="0"/>
      <w:divBdr>
        <w:top w:val="none" w:sz="0" w:space="0" w:color="auto"/>
        <w:left w:val="none" w:sz="0" w:space="0" w:color="auto"/>
        <w:bottom w:val="none" w:sz="0" w:space="0" w:color="auto"/>
        <w:right w:val="none" w:sz="0" w:space="0" w:color="auto"/>
      </w:divBdr>
      <w:divsChild>
        <w:div w:id="1745640566">
          <w:marLeft w:val="547"/>
          <w:marRight w:val="0"/>
          <w:marTop w:val="0"/>
          <w:marBottom w:val="120"/>
          <w:divBdr>
            <w:top w:val="none" w:sz="0" w:space="0" w:color="auto"/>
            <w:left w:val="none" w:sz="0" w:space="0" w:color="auto"/>
            <w:bottom w:val="none" w:sz="0" w:space="0" w:color="auto"/>
            <w:right w:val="none" w:sz="0" w:space="0" w:color="auto"/>
          </w:divBdr>
        </w:div>
        <w:div w:id="1314484275">
          <w:marLeft w:val="1166"/>
          <w:marRight w:val="0"/>
          <w:marTop w:val="0"/>
          <w:marBottom w:val="0"/>
          <w:divBdr>
            <w:top w:val="none" w:sz="0" w:space="0" w:color="auto"/>
            <w:left w:val="none" w:sz="0" w:space="0" w:color="auto"/>
            <w:bottom w:val="none" w:sz="0" w:space="0" w:color="auto"/>
            <w:right w:val="none" w:sz="0" w:space="0" w:color="auto"/>
          </w:divBdr>
        </w:div>
        <w:div w:id="235481208">
          <w:marLeft w:val="1166"/>
          <w:marRight w:val="0"/>
          <w:marTop w:val="120"/>
          <w:marBottom w:val="0"/>
          <w:divBdr>
            <w:top w:val="none" w:sz="0" w:space="0" w:color="auto"/>
            <w:left w:val="none" w:sz="0" w:space="0" w:color="auto"/>
            <w:bottom w:val="none" w:sz="0" w:space="0" w:color="auto"/>
            <w:right w:val="none" w:sz="0" w:space="0" w:color="auto"/>
          </w:divBdr>
        </w:div>
        <w:div w:id="745149455">
          <w:marLeft w:val="547"/>
          <w:marRight w:val="0"/>
          <w:marTop w:val="0"/>
          <w:marBottom w:val="120"/>
          <w:divBdr>
            <w:top w:val="none" w:sz="0" w:space="0" w:color="auto"/>
            <w:left w:val="none" w:sz="0" w:space="0" w:color="auto"/>
            <w:bottom w:val="none" w:sz="0" w:space="0" w:color="auto"/>
            <w:right w:val="none" w:sz="0" w:space="0" w:color="auto"/>
          </w:divBdr>
        </w:div>
      </w:divsChild>
    </w:div>
    <w:div w:id="313224637">
      <w:bodyDiv w:val="1"/>
      <w:marLeft w:val="0"/>
      <w:marRight w:val="0"/>
      <w:marTop w:val="0"/>
      <w:marBottom w:val="0"/>
      <w:divBdr>
        <w:top w:val="none" w:sz="0" w:space="0" w:color="auto"/>
        <w:left w:val="none" w:sz="0" w:space="0" w:color="auto"/>
        <w:bottom w:val="none" w:sz="0" w:space="0" w:color="auto"/>
        <w:right w:val="none" w:sz="0" w:space="0" w:color="auto"/>
      </w:divBdr>
      <w:divsChild>
        <w:div w:id="1488396053">
          <w:marLeft w:val="547"/>
          <w:marRight w:val="0"/>
          <w:marTop w:val="0"/>
          <w:marBottom w:val="0"/>
          <w:divBdr>
            <w:top w:val="none" w:sz="0" w:space="0" w:color="auto"/>
            <w:left w:val="none" w:sz="0" w:space="0" w:color="auto"/>
            <w:bottom w:val="none" w:sz="0" w:space="0" w:color="auto"/>
            <w:right w:val="none" w:sz="0" w:space="0" w:color="auto"/>
          </w:divBdr>
        </w:div>
        <w:div w:id="1350330563">
          <w:marLeft w:val="547"/>
          <w:marRight w:val="0"/>
          <w:marTop w:val="0"/>
          <w:marBottom w:val="0"/>
          <w:divBdr>
            <w:top w:val="none" w:sz="0" w:space="0" w:color="auto"/>
            <w:left w:val="none" w:sz="0" w:space="0" w:color="auto"/>
            <w:bottom w:val="none" w:sz="0" w:space="0" w:color="auto"/>
            <w:right w:val="none" w:sz="0" w:space="0" w:color="auto"/>
          </w:divBdr>
        </w:div>
        <w:div w:id="673266906">
          <w:marLeft w:val="547"/>
          <w:marRight w:val="0"/>
          <w:marTop w:val="0"/>
          <w:marBottom w:val="0"/>
          <w:divBdr>
            <w:top w:val="none" w:sz="0" w:space="0" w:color="auto"/>
            <w:left w:val="none" w:sz="0" w:space="0" w:color="auto"/>
            <w:bottom w:val="none" w:sz="0" w:space="0" w:color="auto"/>
            <w:right w:val="none" w:sz="0" w:space="0" w:color="auto"/>
          </w:divBdr>
        </w:div>
        <w:div w:id="993680178">
          <w:marLeft w:val="1166"/>
          <w:marRight w:val="0"/>
          <w:marTop w:val="0"/>
          <w:marBottom w:val="0"/>
          <w:divBdr>
            <w:top w:val="none" w:sz="0" w:space="0" w:color="auto"/>
            <w:left w:val="none" w:sz="0" w:space="0" w:color="auto"/>
            <w:bottom w:val="none" w:sz="0" w:space="0" w:color="auto"/>
            <w:right w:val="none" w:sz="0" w:space="0" w:color="auto"/>
          </w:divBdr>
        </w:div>
        <w:div w:id="673462441">
          <w:marLeft w:val="1166"/>
          <w:marRight w:val="0"/>
          <w:marTop w:val="0"/>
          <w:marBottom w:val="0"/>
          <w:divBdr>
            <w:top w:val="none" w:sz="0" w:space="0" w:color="auto"/>
            <w:left w:val="none" w:sz="0" w:space="0" w:color="auto"/>
            <w:bottom w:val="none" w:sz="0" w:space="0" w:color="auto"/>
            <w:right w:val="none" w:sz="0" w:space="0" w:color="auto"/>
          </w:divBdr>
        </w:div>
        <w:div w:id="1631088616">
          <w:marLeft w:val="1166"/>
          <w:marRight w:val="0"/>
          <w:marTop w:val="0"/>
          <w:marBottom w:val="0"/>
          <w:divBdr>
            <w:top w:val="none" w:sz="0" w:space="0" w:color="auto"/>
            <w:left w:val="none" w:sz="0" w:space="0" w:color="auto"/>
            <w:bottom w:val="none" w:sz="0" w:space="0" w:color="auto"/>
            <w:right w:val="none" w:sz="0" w:space="0" w:color="auto"/>
          </w:divBdr>
        </w:div>
        <w:div w:id="1837718965">
          <w:marLeft w:val="1166"/>
          <w:marRight w:val="0"/>
          <w:marTop w:val="0"/>
          <w:marBottom w:val="0"/>
          <w:divBdr>
            <w:top w:val="none" w:sz="0" w:space="0" w:color="auto"/>
            <w:left w:val="none" w:sz="0" w:space="0" w:color="auto"/>
            <w:bottom w:val="none" w:sz="0" w:space="0" w:color="auto"/>
            <w:right w:val="none" w:sz="0" w:space="0" w:color="auto"/>
          </w:divBdr>
        </w:div>
        <w:div w:id="769085406">
          <w:marLeft w:val="547"/>
          <w:marRight w:val="0"/>
          <w:marTop w:val="0"/>
          <w:marBottom w:val="0"/>
          <w:divBdr>
            <w:top w:val="none" w:sz="0" w:space="0" w:color="auto"/>
            <w:left w:val="none" w:sz="0" w:space="0" w:color="auto"/>
            <w:bottom w:val="none" w:sz="0" w:space="0" w:color="auto"/>
            <w:right w:val="none" w:sz="0" w:space="0" w:color="auto"/>
          </w:divBdr>
        </w:div>
        <w:div w:id="577056915">
          <w:marLeft w:val="547"/>
          <w:marRight w:val="0"/>
          <w:marTop w:val="0"/>
          <w:marBottom w:val="0"/>
          <w:divBdr>
            <w:top w:val="none" w:sz="0" w:space="0" w:color="auto"/>
            <w:left w:val="none" w:sz="0" w:space="0" w:color="auto"/>
            <w:bottom w:val="none" w:sz="0" w:space="0" w:color="auto"/>
            <w:right w:val="none" w:sz="0" w:space="0" w:color="auto"/>
          </w:divBdr>
        </w:div>
        <w:div w:id="2106340323">
          <w:marLeft w:val="547"/>
          <w:marRight w:val="0"/>
          <w:marTop w:val="0"/>
          <w:marBottom w:val="0"/>
          <w:divBdr>
            <w:top w:val="none" w:sz="0" w:space="0" w:color="auto"/>
            <w:left w:val="none" w:sz="0" w:space="0" w:color="auto"/>
            <w:bottom w:val="none" w:sz="0" w:space="0" w:color="auto"/>
            <w:right w:val="none" w:sz="0" w:space="0" w:color="auto"/>
          </w:divBdr>
        </w:div>
      </w:divsChild>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78696912">
      <w:bodyDiv w:val="1"/>
      <w:marLeft w:val="0"/>
      <w:marRight w:val="0"/>
      <w:marTop w:val="0"/>
      <w:marBottom w:val="0"/>
      <w:divBdr>
        <w:top w:val="none" w:sz="0" w:space="0" w:color="auto"/>
        <w:left w:val="none" w:sz="0" w:space="0" w:color="auto"/>
        <w:bottom w:val="none" w:sz="0" w:space="0" w:color="auto"/>
        <w:right w:val="none" w:sz="0" w:space="0" w:color="auto"/>
      </w:divBdr>
      <w:divsChild>
        <w:div w:id="529805668">
          <w:marLeft w:val="547"/>
          <w:marRight w:val="0"/>
          <w:marTop w:val="0"/>
          <w:marBottom w:val="0"/>
          <w:divBdr>
            <w:top w:val="none" w:sz="0" w:space="0" w:color="auto"/>
            <w:left w:val="none" w:sz="0" w:space="0" w:color="auto"/>
            <w:bottom w:val="none" w:sz="0" w:space="0" w:color="auto"/>
            <w:right w:val="none" w:sz="0" w:space="0" w:color="auto"/>
          </w:divBdr>
        </w:div>
        <w:div w:id="381710012">
          <w:marLeft w:val="547"/>
          <w:marRight w:val="0"/>
          <w:marTop w:val="0"/>
          <w:marBottom w:val="0"/>
          <w:divBdr>
            <w:top w:val="none" w:sz="0" w:space="0" w:color="auto"/>
            <w:left w:val="none" w:sz="0" w:space="0" w:color="auto"/>
            <w:bottom w:val="none" w:sz="0" w:space="0" w:color="auto"/>
            <w:right w:val="none" w:sz="0" w:space="0" w:color="auto"/>
          </w:divBdr>
        </w:div>
        <w:div w:id="1105534426">
          <w:marLeft w:val="0"/>
          <w:marRight w:val="0"/>
          <w:marTop w:val="0"/>
          <w:marBottom w:val="100"/>
          <w:divBdr>
            <w:top w:val="none" w:sz="0" w:space="0" w:color="auto"/>
            <w:left w:val="none" w:sz="0" w:space="0" w:color="auto"/>
            <w:bottom w:val="none" w:sz="0" w:space="0" w:color="auto"/>
            <w:right w:val="none" w:sz="0" w:space="0" w:color="auto"/>
          </w:divBdr>
        </w:div>
        <w:div w:id="943457747">
          <w:marLeft w:val="547"/>
          <w:marRight w:val="0"/>
          <w:marTop w:val="0"/>
          <w:marBottom w:val="0"/>
          <w:divBdr>
            <w:top w:val="none" w:sz="0" w:space="0" w:color="auto"/>
            <w:left w:val="none" w:sz="0" w:space="0" w:color="auto"/>
            <w:bottom w:val="none" w:sz="0" w:space="0" w:color="auto"/>
            <w:right w:val="none" w:sz="0" w:space="0" w:color="auto"/>
          </w:divBdr>
        </w:div>
        <w:div w:id="941036671">
          <w:marLeft w:val="547"/>
          <w:marRight w:val="0"/>
          <w:marTop w:val="0"/>
          <w:marBottom w:val="0"/>
          <w:divBdr>
            <w:top w:val="none" w:sz="0" w:space="0" w:color="auto"/>
            <w:left w:val="none" w:sz="0" w:space="0" w:color="auto"/>
            <w:bottom w:val="none" w:sz="0" w:space="0" w:color="auto"/>
            <w:right w:val="none" w:sz="0" w:space="0" w:color="auto"/>
          </w:divBdr>
        </w:div>
      </w:divsChild>
    </w:div>
    <w:div w:id="488863973">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2692200">
      <w:bodyDiv w:val="1"/>
      <w:marLeft w:val="0"/>
      <w:marRight w:val="0"/>
      <w:marTop w:val="0"/>
      <w:marBottom w:val="0"/>
      <w:divBdr>
        <w:top w:val="none" w:sz="0" w:space="0" w:color="auto"/>
        <w:left w:val="none" w:sz="0" w:space="0" w:color="auto"/>
        <w:bottom w:val="none" w:sz="0" w:space="0" w:color="auto"/>
        <w:right w:val="none" w:sz="0" w:space="0" w:color="auto"/>
      </w:divBdr>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52082261">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86715235">
      <w:bodyDiv w:val="1"/>
      <w:marLeft w:val="0"/>
      <w:marRight w:val="0"/>
      <w:marTop w:val="0"/>
      <w:marBottom w:val="0"/>
      <w:divBdr>
        <w:top w:val="none" w:sz="0" w:space="0" w:color="auto"/>
        <w:left w:val="none" w:sz="0" w:space="0" w:color="auto"/>
        <w:bottom w:val="none" w:sz="0" w:space="0" w:color="auto"/>
        <w:right w:val="none" w:sz="0" w:space="0" w:color="auto"/>
      </w:divBdr>
      <w:divsChild>
        <w:div w:id="409500603">
          <w:marLeft w:val="274"/>
          <w:marRight w:val="0"/>
          <w:marTop w:val="180"/>
          <w:marBottom w:val="60"/>
          <w:divBdr>
            <w:top w:val="none" w:sz="0" w:space="0" w:color="auto"/>
            <w:left w:val="none" w:sz="0" w:space="0" w:color="auto"/>
            <w:bottom w:val="none" w:sz="0" w:space="0" w:color="auto"/>
            <w:right w:val="none" w:sz="0" w:space="0" w:color="auto"/>
          </w:divBdr>
        </w:div>
        <w:div w:id="649216468">
          <w:marLeft w:val="547"/>
          <w:marRight w:val="0"/>
          <w:marTop w:val="45"/>
          <w:marBottom w:val="45"/>
          <w:divBdr>
            <w:top w:val="none" w:sz="0" w:space="0" w:color="auto"/>
            <w:left w:val="none" w:sz="0" w:space="0" w:color="auto"/>
            <w:bottom w:val="none" w:sz="0" w:space="0" w:color="auto"/>
            <w:right w:val="none" w:sz="0" w:space="0" w:color="auto"/>
          </w:divBdr>
        </w:div>
        <w:div w:id="743145369">
          <w:marLeft w:val="547"/>
          <w:marRight w:val="0"/>
          <w:marTop w:val="45"/>
          <w:marBottom w:val="45"/>
          <w:divBdr>
            <w:top w:val="none" w:sz="0" w:space="0" w:color="auto"/>
            <w:left w:val="none" w:sz="0" w:space="0" w:color="auto"/>
            <w:bottom w:val="none" w:sz="0" w:space="0" w:color="auto"/>
            <w:right w:val="none" w:sz="0" w:space="0" w:color="auto"/>
          </w:divBdr>
        </w:div>
        <w:div w:id="994457151">
          <w:marLeft w:val="274"/>
          <w:marRight w:val="0"/>
          <w:marTop w:val="180"/>
          <w:marBottom w:val="60"/>
          <w:divBdr>
            <w:top w:val="none" w:sz="0" w:space="0" w:color="auto"/>
            <w:left w:val="none" w:sz="0" w:space="0" w:color="auto"/>
            <w:bottom w:val="none" w:sz="0" w:space="0" w:color="auto"/>
            <w:right w:val="none" w:sz="0" w:space="0" w:color="auto"/>
          </w:divBdr>
        </w:div>
        <w:div w:id="999456359">
          <w:marLeft w:val="274"/>
          <w:marRight w:val="0"/>
          <w:marTop w:val="180"/>
          <w:marBottom w:val="60"/>
          <w:divBdr>
            <w:top w:val="none" w:sz="0" w:space="0" w:color="auto"/>
            <w:left w:val="none" w:sz="0" w:space="0" w:color="auto"/>
            <w:bottom w:val="none" w:sz="0" w:space="0" w:color="auto"/>
            <w:right w:val="none" w:sz="0" w:space="0" w:color="auto"/>
          </w:divBdr>
        </w:div>
        <w:div w:id="1137138844">
          <w:marLeft w:val="547"/>
          <w:marRight w:val="0"/>
          <w:marTop w:val="45"/>
          <w:marBottom w:val="45"/>
          <w:divBdr>
            <w:top w:val="none" w:sz="0" w:space="0" w:color="auto"/>
            <w:left w:val="none" w:sz="0" w:space="0" w:color="auto"/>
            <w:bottom w:val="none" w:sz="0" w:space="0" w:color="auto"/>
            <w:right w:val="none" w:sz="0" w:space="0" w:color="auto"/>
          </w:divBdr>
        </w:div>
        <w:div w:id="1491554527">
          <w:marLeft w:val="274"/>
          <w:marRight w:val="0"/>
          <w:marTop w:val="180"/>
          <w:marBottom w:val="60"/>
          <w:divBdr>
            <w:top w:val="none" w:sz="0" w:space="0" w:color="auto"/>
            <w:left w:val="none" w:sz="0" w:space="0" w:color="auto"/>
            <w:bottom w:val="none" w:sz="0" w:space="0" w:color="auto"/>
            <w:right w:val="none" w:sz="0" w:space="0" w:color="auto"/>
          </w:divBdr>
        </w:div>
        <w:div w:id="2027518456">
          <w:marLeft w:val="547"/>
          <w:marRight w:val="0"/>
          <w:marTop w:val="45"/>
          <w:marBottom w:val="45"/>
          <w:divBdr>
            <w:top w:val="none" w:sz="0" w:space="0" w:color="auto"/>
            <w:left w:val="none" w:sz="0" w:space="0" w:color="auto"/>
            <w:bottom w:val="none" w:sz="0" w:space="0" w:color="auto"/>
            <w:right w:val="none" w:sz="0" w:space="0" w:color="auto"/>
          </w:divBdr>
        </w:div>
      </w:divsChild>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63112296">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2682367">
      <w:bodyDiv w:val="1"/>
      <w:marLeft w:val="0"/>
      <w:marRight w:val="0"/>
      <w:marTop w:val="0"/>
      <w:marBottom w:val="0"/>
      <w:divBdr>
        <w:top w:val="none" w:sz="0" w:space="0" w:color="auto"/>
        <w:left w:val="none" w:sz="0" w:space="0" w:color="auto"/>
        <w:bottom w:val="none" w:sz="0" w:space="0" w:color="auto"/>
        <w:right w:val="none" w:sz="0" w:space="0" w:color="auto"/>
      </w:divBdr>
      <w:divsChild>
        <w:div w:id="22099803">
          <w:marLeft w:val="0"/>
          <w:marRight w:val="0"/>
          <w:marTop w:val="0"/>
          <w:marBottom w:val="0"/>
          <w:divBdr>
            <w:top w:val="none" w:sz="0" w:space="0" w:color="auto"/>
            <w:left w:val="none" w:sz="0" w:space="0" w:color="auto"/>
            <w:bottom w:val="none" w:sz="0" w:space="0" w:color="auto"/>
            <w:right w:val="none" w:sz="0" w:space="0" w:color="auto"/>
          </w:divBdr>
          <w:divsChild>
            <w:div w:id="274286920">
              <w:marLeft w:val="0"/>
              <w:marRight w:val="0"/>
              <w:marTop w:val="0"/>
              <w:marBottom w:val="0"/>
              <w:divBdr>
                <w:top w:val="none" w:sz="0" w:space="0" w:color="auto"/>
                <w:left w:val="none" w:sz="0" w:space="0" w:color="auto"/>
                <w:bottom w:val="none" w:sz="0" w:space="0" w:color="auto"/>
                <w:right w:val="none" w:sz="0" w:space="0" w:color="auto"/>
              </w:divBdr>
              <w:divsChild>
                <w:div w:id="378360284">
                  <w:marLeft w:val="0"/>
                  <w:marRight w:val="0"/>
                  <w:marTop w:val="0"/>
                  <w:marBottom w:val="0"/>
                  <w:divBdr>
                    <w:top w:val="none" w:sz="0" w:space="0" w:color="auto"/>
                    <w:left w:val="none" w:sz="0" w:space="0" w:color="auto"/>
                    <w:bottom w:val="none" w:sz="0" w:space="0" w:color="auto"/>
                    <w:right w:val="none" w:sz="0" w:space="0" w:color="auto"/>
                  </w:divBdr>
                </w:div>
                <w:div w:id="574096731">
                  <w:marLeft w:val="0"/>
                  <w:marRight w:val="0"/>
                  <w:marTop w:val="0"/>
                  <w:marBottom w:val="0"/>
                  <w:divBdr>
                    <w:top w:val="none" w:sz="0" w:space="0" w:color="auto"/>
                    <w:left w:val="none" w:sz="0" w:space="0" w:color="auto"/>
                    <w:bottom w:val="none" w:sz="0" w:space="0" w:color="auto"/>
                    <w:right w:val="none" w:sz="0" w:space="0" w:color="auto"/>
                  </w:divBdr>
                </w:div>
                <w:div w:id="643855606">
                  <w:marLeft w:val="0"/>
                  <w:marRight w:val="0"/>
                  <w:marTop w:val="0"/>
                  <w:marBottom w:val="0"/>
                  <w:divBdr>
                    <w:top w:val="none" w:sz="0" w:space="0" w:color="auto"/>
                    <w:left w:val="none" w:sz="0" w:space="0" w:color="auto"/>
                    <w:bottom w:val="none" w:sz="0" w:space="0" w:color="auto"/>
                    <w:right w:val="none" w:sz="0" w:space="0" w:color="auto"/>
                  </w:divBdr>
                </w:div>
                <w:div w:id="1925260372">
                  <w:marLeft w:val="0"/>
                  <w:marRight w:val="0"/>
                  <w:marTop w:val="0"/>
                  <w:marBottom w:val="0"/>
                  <w:divBdr>
                    <w:top w:val="none" w:sz="0" w:space="0" w:color="auto"/>
                    <w:left w:val="none" w:sz="0" w:space="0" w:color="auto"/>
                    <w:bottom w:val="none" w:sz="0" w:space="0" w:color="auto"/>
                    <w:right w:val="none" w:sz="0" w:space="0" w:color="auto"/>
                  </w:divBdr>
                </w:div>
              </w:divsChild>
            </w:div>
            <w:div w:id="633877564">
              <w:marLeft w:val="0"/>
              <w:marRight w:val="0"/>
              <w:marTop w:val="0"/>
              <w:marBottom w:val="0"/>
              <w:divBdr>
                <w:top w:val="none" w:sz="0" w:space="0" w:color="auto"/>
                <w:left w:val="none" w:sz="0" w:space="0" w:color="auto"/>
                <w:bottom w:val="none" w:sz="0" w:space="0" w:color="auto"/>
                <w:right w:val="none" w:sz="0" w:space="0" w:color="auto"/>
              </w:divBdr>
            </w:div>
            <w:div w:id="1043214341">
              <w:marLeft w:val="0"/>
              <w:marRight w:val="0"/>
              <w:marTop w:val="0"/>
              <w:marBottom w:val="0"/>
              <w:divBdr>
                <w:top w:val="none" w:sz="0" w:space="0" w:color="auto"/>
                <w:left w:val="none" w:sz="0" w:space="0" w:color="auto"/>
                <w:bottom w:val="none" w:sz="0" w:space="0" w:color="auto"/>
                <w:right w:val="none" w:sz="0" w:space="0" w:color="auto"/>
              </w:divBdr>
            </w:div>
            <w:div w:id="1482846259">
              <w:marLeft w:val="0"/>
              <w:marRight w:val="0"/>
              <w:marTop w:val="0"/>
              <w:marBottom w:val="0"/>
              <w:divBdr>
                <w:top w:val="none" w:sz="0" w:space="0" w:color="auto"/>
                <w:left w:val="none" w:sz="0" w:space="0" w:color="auto"/>
                <w:bottom w:val="none" w:sz="0" w:space="0" w:color="auto"/>
                <w:right w:val="none" w:sz="0" w:space="0" w:color="auto"/>
              </w:divBdr>
            </w:div>
            <w:div w:id="1615819312">
              <w:marLeft w:val="0"/>
              <w:marRight w:val="0"/>
              <w:marTop w:val="0"/>
              <w:marBottom w:val="0"/>
              <w:divBdr>
                <w:top w:val="none" w:sz="0" w:space="0" w:color="auto"/>
                <w:left w:val="none" w:sz="0" w:space="0" w:color="auto"/>
                <w:bottom w:val="none" w:sz="0" w:space="0" w:color="auto"/>
                <w:right w:val="none" w:sz="0" w:space="0" w:color="auto"/>
              </w:divBdr>
            </w:div>
            <w:div w:id="202948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908592">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08431490">
      <w:bodyDiv w:val="1"/>
      <w:marLeft w:val="0"/>
      <w:marRight w:val="0"/>
      <w:marTop w:val="0"/>
      <w:marBottom w:val="0"/>
      <w:divBdr>
        <w:top w:val="none" w:sz="0" w:space="0" w:color="auto"/>
        <w:left w:val="none" w:sz="0" w:space="0" w:color="auto"/>
        <w:bottom w:val="none" w:sz="0" w:space="0" w:color="auto"/>
        <w:right w:val="none" w:sz="0" w:space="0" w:color="auto"/>
      </w:divBdr>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83319221">
      <w:bodyDiv w:val="1"/>
      <w:marLeft w:val="0"/>
      <w:marRight w:val="0"/>
      <w:marTop w:val="0"/>
      <w:marBottom w:val="0"/>
      <w:divBdr>
        <w:top w:val="none" w:sz="0" w:space="0" w:color="auto"/>
        <w:left w:val="none" w:sz="0" w:space="0" w:color="auto"/>
        <w:bottom w:val="none" w:sz="0" w:space="0" w:color="auto"/>
        <w:right w:val="none" w:sz="0" w:space="0" w:color="auto"/>
      </w:divBdr>
      <w:divsChild>
        <w:div w:id="2052265479">
          <w:marLeft w:val="547"/>
          <w:marRight w:val="0"/>
          <w:marTop w:val="0"/>
          <w:marBottom w:val="0"/>
          <w:divBdr>
            <w:top w:val="none" w:sz="0" w:space="0" w:color="auto"/>
            <w:left w:val="none" w:sz="0" w:space="0" w:color="auto"/>
            <w:bottom w:val="none" w:sz="0" w:space="0" w:color="auto"/>
            <w:right w:val="none" w:sz="0" w:space="0" w:color="auto"/>
          </w:divBdr>
        </w:div>
        <w:div w:id="1727334007">
          <w:marLeft w:val="547"/>
          <w:marRight w:val="0"/>
          <w:marTop w:val="0"/>
          <w:marBottom w:val="0"/>
          <w:divBdr>
            <w:top w:val="none" w:sz="0" w:space="0" w:color="auto"/>
            <w:left w:val="none" w:sz="0" w:space="0" w:color="auto"/>
            <w:bottom w:val="none" w:sz="0" w:space="0" w:color="auto"/>
            <w:right w:val="none" w:sz="0" w:space="0" w:color="auto"/>
          </w:divBdr>
        </w:div>
        <w:div w:id="487941657">
          <w:marLeft w:val="547"/>
          <w:marRight w:val="0"/>
          <w:marTop w:val="0"/>
          <w:marBottom w:val="0"/>
          <w:divBdr>
            <w:top w:val="none" w:sz="0" w:space="0" w:color="auto"/>
            <w:left w:val="none" w:sz="0" w:space="0" w:color="auto"/>
            <w:bottom w:val="none" w:sz="0" w:space="0" w:color="auto"/>
            <w:right w:val="none" w:sz="0" w:space="0" w:color="auto"/>
          </w:divBdr>
        </w:div>
        <w:div w:id="705523141">
          <w:marLeft w:val="1166"/>
          <w:marRight w:val="0"/>
          <w:marTop w:val="0"/>
          <w:marBottom w:val="0"/>
          <w:divBdr>
            <w:top w:val="none" w:sz="0" w:space="0" w:color="auto"/>
            <w:left w:val="none" w:sz="0" w:space="0" w:color="auto"/>
            <w:bottom w:val="none" w:sz="0" w:space="0" w:color="auto"/>
            <w:right w:val="none" w:sz="0" w:space="0" w:color="auto"/>
          </w:divBdr>
        </w:div>
        <w:div w:id="1501583650">
          <w:marLeft w:val="1166"/>
          <w:marRight w:val="0"/>
          <w:marTop w:val="0"/>
          <w:marBottom w:val="0"/>
          <w:divBdr>
            <w:top w:val="none" w:sz="0" w:space="0" w:color="auto"/>
            <w:left w:val="none" w:sz="0" w:space="0" w:color="auto"/>
            <w:bottom w:val="none" w:sz="0" w:space="0" w:color="auto"/>
            <w:right w:val="none" w:sz="0" w:space="0" w:color="auto"/>
          </w:divBdr>
        </w:div>
        <w:div w:id="1506245353">
          <w:marLeft w:val="1166"/>
          <w:marRight w:val="0"/>
          <w:marTop w:val="0"/>
          <w:marBottom w:val="0"/>
          <w:divBdr>
            <w:top w:val="none" w:sz="0" w:space="0" w:color="auto"/>
            <w:left w:val="none" w:sz="0" w:space="0" w:color="auto"/>
            <w:bottom w:val="none" w:sz="0" w:space="0" w:color="auto"/>
            <w:right w:val="none" w:sz="0" w:space="0" w:color="auto"/>
          </w:divBdr>
        </w:div>
        <w:div w:id="1629778020">
          <w:marLeft w:val="1166"/>
          <w:marRight w:val="0"/>
          <w:marTop w:val="0"/>
          <w:marBottom w:val="0"/>
          <w:divBdr>
            <w:top w:val="none" w:sz="0" w:space="0" w:color="auto"/>
            <w:left w:val="none" w:sz="0" w:space="0" w:color="auto"/>
            <w:bottom w:val="none" w:sz="0" w:space="0" w:color="auto"/>
            <w:right w:val="none" w:sz="0" w:space="0" w:color="auto"/>
          </w:divBdr>
        </w:div>
        <w:div w:id="2055696354">
          <w:marLeft w:val="547"/>
          <w:marRight w:val="0"/>
          <w:marTop w:val="0"/>
          <w:marBottom w:val="0"/>
          <w:divBdr>
            <w:top w:val="none" w:sz="0" w:space="0" w:color="auto"/>
            <w:left w:val="none" w:sz="0" w:space="0" w:color="auto"/>
            <w:bottom w:val="none" w:sz="0" w:space="0" w:color="auto"/>
            <w:right w:val="none" w:sz="0" w:space="0" w:color="auto"/>
          </w:divBdr>
        </w:div>
        <w:div w:id="1168522188">
          <w:marLeft w:val="547"/>
          <w:marRight w:val="0"/>
          <w:marTop w:val="0"/>
          <w:marBottom w:val="0"/>
          <w:divBdr>
            <w:top w:val="none" w:sz="0" w:space="0" w:color="auto"/>
            <w:left w:val="none" w:sz="0" w:space="0" w:color="auto"/>
            <w:bottom w:val="none" w:sz="0" w:space="0" w:color="auto"/>
            <w:right w:val="none" w:sz="0" w:space="0" w:color="auto"/>
          </w:divBdr>
        </w:div>
        <w:div w:id="1169295776">
          <w:marLeft w:val="547"/>
          <w:marRight w:val="0"/>
          <w:marTop w:val="0"/>
          <w:marBottom w:val="0"/>
          <w:divBdr>
            <w:top w:val="none" w:sz="0" w:space="0" w:color="auto"/>
            <w:left w:val="none" w:sz="0" w:space="0" w:color="auto"/>
            <w:bottom w:val="none" w:sz="0" w:space="0" w:color="auto"/>
            <w:right w:val="none" w:sz="0" w:space="0" w:color="auto"/>
          </w:divBdr>
        </w:div>
      </w:divsChild>
    </w:div>
    <w:div w:id="1208685283">
      <w:bodyDiv w:val="1"/>
      <w:marLeft w:val="0"/>
      <w:marRight w:val="0"/>
      <w:marTop w:val="0"/>
      <w:marBottom w:val="0"/>
      <w:divBdr>
        <w:top w:val="none" w:sz="0" w:space="0" w:color="auto"/>
        <w:left w:val="none" w:sz="0" w:space="0" w:color="auto"/>
        <w:bottom w:val="none" w:sz="0" w:space="0" w:color="auto"/>
        <w:right w:val="none" w:sz="0" w:space="0" w:color="auto"/>
      </w:divBdr>
      <w:divsChild>
        <w:div w:id="76824175">
          <w:marLeft w:val="547"/>
          <w:marRight w:val="0"/>
          <w:marTop w:val="45"/>
          <w:marBottom w:val="45"/>
          <w:divBdr>
            <w:top w:val="none" w:sz="0" w:space="0" w:color="auto"/>
            <w:left w:val="none" w:sz="0" w:space="0" w:color="auto"/>
            <w:bottom w:val="none" w:sz="0" w:space="0" w:color="auto"/>
            <w:right w:val="none" w:sz="0" w:space="0" w:color="auto"/>
          </w:divBdr>
        </w:div>
      </w:divsChild>
    </w:div>
    <w:div w:id="1228298092">
      <w:bodyDiv w:val="1"/>
      <w:marLeft w:val="0"/>
      <w:marRight w:val="0"/>
      <w:marTop w:val="0"/>
      <w:marBottom w:val="0"/>
      <w:divBdr>
        <w:top w:val="none" w:sz="0" w:space="0" w:color="auto"/>
        <w:left w:val="none" w:sz="0" w:space="0" w:color="auto"/>
        <w:bottom w:val="none" w:sz="0" w:space="0" w:color="auto"/>
        <w:right w:val="none" w:sz="0" w:space="0" w:color="auto"/>
      </w:divBdr>
      <w:divsChild>
        <w:div w:id="1299914071">
          <w:marLeft w:val="1166"/>
          <w:marRight w:val="0"/>
          <w:marTop w:val="0"/>
          <w:marBottom w:val="0"/>
          <w:divBdr>
            <w:top w:val="none" w:sz="0" w:space="0" w:color="auto"/>
            <w:left w:val="none" w:sz="0" w:space="0" w:color="auto"/>
            <w:bottom w:val="none" w:sz="0" w:space="0" w:color="auto"/>
            <w:right w:val="none" w:sz="0" w:space="0" w:color="auto"/>
          </w:divBdr>
        </w:div>
        <w:div w:id="1335456432">
          <w:marLeft w:val="1166"/>
          <w:marRight w:val="0"/>
          <w:marTop w:val="0"/>
          <w:marBottom w:val="0"/>
          <w:divBdr>
            <w:top w:val="none" w:sz="0" w:space="0" w:color="auto"/>
            <w:left w:val="none" w:sz="0" w:space="0" w:color="auto"/>
            <w:bottom w:val="none" w:sz="0" w:space="0" w:color="auto"/>
            <w:right w:val="none" w:sz="0" w:space="0" w:color="auto"/>
          </w:divBdr>
        </w:div>
        <w:div w:id="1784225823">
          <w:marLeft w:val="1166"/>
          <w:marRight w:val="0"/>
          <w:marTop w:val="0"/>
          <w:marBottom w:val="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3063239">
      <w:bodyDiv w:val="1"/>
      <w:marLeft w:val="0"/>
      <w:marRight w:val="0"/>
      <w:marTop w:val="0"/>
      <w:marBottom w:val="0"/>
      <w:divBdr>
        <w:top w:val="none" w:sz="0" w:space="0" w:color="auto"/>
        <w:left w:val="none" w:sz="0" w:space="0" w:color="auto"/>
        <w:bottom w:val="none" w:sz="0" w:space="0" w:color="auto"/>
        <w:right w:val="none" w:sz="0" w:space="0" w:color="auto"/>
      </w:divBdr>
      <w:divsChild>
        <w:div w:id="767626137">
          <w:marLeft w:val="216"/>
          <w:marRight w:val="0"/>
          <w:marTop w:val="240"/>
          <w:marBottom w:val="0"/>
          <w:divBdr>
            <w:top w:val="none" w:sz="0" w:space="0" w:color="auto"/>
            <w:left w:val="none" w:sz="0" w:space="0" w:color="auto"/>
            <w:bottom w:val="none" w:sz="0" w:space="0" w:color="auto"/>
            <w:right w:val="none" w:sz="0" w:space="0" w:color="auto"/>
          </w:divBdr>
        </w:div>
        <w:div w:id="838080646">
          <w:marLeft w:val="562"/>
          <w:marRight w:val="0"/>
          <w:marTop w:val="0"/>
          <w:marBottom w:val="0"/>
          <w:divBdr>
            <w:top w:val="none" w:sz="0" w:space="0" w:color="auto"/>
            <w:left w:val="none" w:sz="0" w:space="0" w:color="auto"/>
            <w:bottom w:val="none" w:sz="0" w:space="0" w:color="auto"/>
            <w:right w:val="none" w:sz="0" w:space="0" w:color="auto"/>
          </w:divBdr>
        </w:div>
        <w:div w:id="1274164415">
          <w:marLeft w:val="821"/>
          <w:marRight w:val="0"/>
          <w:marTop w:val="0"/>
          <w:marBottom w:val="0"/>
          <w:divBdr>
            <w:top w:val="none" w:sz="0" w:space="0" w:color="auto"/>
            <w:left w:val="none" w:sz="0" w:space="0" w:color="auto"/>
            <w:bottom w:val="none" w:sz="0" w:space="0" w:color="auto"/>
            <w:right w:val="none" w:sz="0" w:space="0" w:color="auto"/>
          </w:divBdr>
        </w:div>
        <w:div w:id="2099866446">
          <w:marLeft w:val="821"/>
          <w:marRight w:val="0"/>
          <w:marTop w:val="0"/>
          <w:marBottom w:val="0"/>
          <w:divBdr>
            <w:top w:val="none" w:sz="0" w:space="0" w:color="auto"/>
            <w:left w:val="none" w:sz="0" w:space="0" w:color="auto"/>
            <w:bottom w:val="none" w:sz="0" w:space="0" w:color="auto"/>
            <w:right w:val="none" w:sz="0" w:space="0" w:color="auto"/>
          </w:divBdr>
        </w:div>
        <w:div w:id="672614115">
          <w:marLeft w:val="562"/>
          <w:marRight w:val="0"/>
          <w:marTop w:val="0"/>
          <w:marBottom w:val="0"/>
          <w:divBdr>
            <w:top w:val="none" w:sz="0" w:space="0" w:color="auto"/>
            <w:left w:val="none" w:sz="0" w:space="0" w:color="auto"/>
            <w:bottom w:val="none" w:sz="0" w:space="0" w:color="auto"/>
            <w:right w:val="none" w:sz="0" w:space="0" w:color="auto"/>
          </w:divBdr>
        </w:div>
        <w:div w:id="977148627">
          <w:marLeft w:val="821"/>
          <w:marRight w:val="0"/>
          <w:marTop w:val="0"/>
          <w:marBottom w:val="0"/>
          <w:divBdr>
            <w:top w:val="none" w:sz="0" w:space="0" w:color="auto"/>
            <w:left w:val="none" w:sz="0" w:space="0" w:color="auto"/>
            <w:bottom w:val="none" w:sz="0" w:space="0" w:color="auto"/>
            <w:right w:val="none" w:sz="0" w:space="0" w:color="auto"/>
          </w:divBdr>
        </w:div>
        <w:div w:id="1179197385">
          <w:marLeft w:val="821"/>
          <w:marRight w:val="0"/>
          <w:marTop w:val="0"/>
          <w:marBottom w:val="0"/>
          <w:divBdr>
            <w:top w:val="none" w:sz="0" w:space="0" w:color="auto"/>
            <w:left w:val="none" w:sz="0" w:space="0" w:color="auto"/>
            <w:bottom w:val="none" w:sz="0" w:space="0" w:color="auto"/>
            <w:right w:val="none" w:sz="0" w:space="0" w:color="auto"/>
          </w:divBdr>
        </w:div>
        <w:div w:id="345013055">
          <w:marLeft w:val="821"/>
          <w:marRight w:val="0"/>
          <w:marTop w:val="0"/>
          <w:marBottom w:val="0"/>
          <w:divBdr>
            <w:top w:val="none" w:sz="0" w:space="0" w:color="auto"/>
            <w:left w:val="none" w:sz="0" w:space="0" w:color="auto"/>
            <w:bottom w:val="none" w:sz="0" w:space="0" w:color="auto"/>
            <w:right w:val="none" w:sz="0" w:space="0" w:color="auto"/>
          </w:divBdr>
        </w:div>
        <w:div w:id="148718631">
          <w:marLeft w:val="562"/>
          <w:marRight w:val="0"/>
          <w:marTop w:val="0"/>
          <w:marBottom w:val="0"/>
          <w:divBdr>
            <w:top w:val="none" w:sz="0" w:space="0" w:color="auto"/>
            <w:left w:val="none" w:sz="0" w:space="0" w:color="auto"/>
            <w:bottom w:val="none" w:sz="0" w:space="0" w:color="auto"/>
            <w:right w:val="none" w:sz="0" w:space="0" w:color="auto"/>
          </w:divBdr>
        </w:div>
        <w:div w:id="1051811694">
          <w:marLeft w:val="821"/>
          <w:marRight w:val="0"/>
          <w:marTop w:val="0"/>
          <w:marBottom w:val="0"/>
          <w:divBdr>
            <w:top w:val="none" w:sz="0" w:space="0" w:color="auto"/>
            <w:left w:val="none" w:sz="0" w:space="0" w:color="auto"/>
            <w:bottom w:val="none" w:sz="0" w:space="0" w:color="auto"/>
            <w:right w:val="none" w:sz="0" w:space="0" w:color="auto"/>
          </w:divBdr>
        </w:div>
        <w:div w:id="1713072271">
          <w:marLeft w:val="821"/>
          <w:marRight w:val="0"/>
          <w:marTop w:val="0"/>
          <w:marBottom w:val="0"/>
          <w:divBdr>
            <w:top w:val="none" w:sz="0" w:space="0" w:color="auto"/>
            <w:left w:val="none" w:sz="0" w:space="0" w:color="auto"/>
            <w:bottom w:val="none" w:sz="0" w:space="0" w:color="auto"/>
            <w:right w:val="none" w:sz="0" w:space="0" w:color="auto"/>
          </w:divBdr>
        </w:div>
        <w:div w:id="1738819027">
          <w:marLeft w:val="821"/>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47234426">
      <w:bodyDiv w:val="1"/>
      <w:marLeft w:val="0"/>
      <w:marRight w:val="0"/>
      <w:marTop w:val="0"/>
      <w:marBottom w:val="0"/>
      <w:divBdr>
        <w:top w:val="none" w:sz="0" w:space="0" w:color="auto"/>
        <w:left w:val="none" w:sz="0" w:space="0" w:color="auto"/>
        <w:bottom w:val="none" w:sz="0" w:space="0" w:color="auto"/>
        <w:right w:val="none" w:sz="0" w:space="0" w:color="auto"/>
      </w:divBdr>
    </w:div>
    <w:div w:id="1483085485">
      <w:bodyDiv w:val="1"/>
      <w:marLeft w:val="0"/>
      <w:marRight w:val="0"/>
      <w:marTop w:val="0"/>
      <w:marBottom w:val="0"/>
      <w:divBdr>
        <w:top w:val="none" w:sz="0" w:space="0" w:color="auto"/>
        <w:left w:val="none" w:sz="0" w:space="0" w:color="auto"/>
        <w:bottom w:val="none" w:sz="0" w:space="0" w:color="auto"/>
        <w:right w:val="none" w:sz="0" w:space="0" w:color="auto"/>
      </w:divBdr>
      <w:divsChild>
        <w:div w:id="1657219016">
          <w:marLeft w:val="216"/>
          <w:marRight w:val="0"/>
          <w:marTop w:val="240"/>
          <w:marBottom w:val="0"/>
          <w:divBdr>
            <w:top w:val="none" w:sz="0" w:space="0" w:color="auto"/>
            <w:left w:val="none" w:sz="0" w:space="0" w:color="auto"/>
            <w:bottom w:val="none" w:sz="0" w:space="0" w:color="auto"/>
            <w:right w:val="none" w:sz="0" w:space="0" w:color="auto"/>
          </w:divBdr>
        </w:div>
        <w:div w:id="1474980978">
          <w:marLeft w:val="562"/>
          <w:marRight w:val="0"/>
          <w:marTop w:val="0"/>
          <w:marBottom w:val="0"/>
          <w:divBdr>
            <w:top w:val="none" w:sz="0" w:space="0" w:color="auto"/>
            <w:left w:val="none" w:sz="0" w:space="0" w:color="auto"/>
            <w:bottom w:val="none" w:sz="0" w:space="0" w:color="auto"/>
            <w:right w:val="none" w:sz="0" w:space="0" w:color="auto"/>
          </w:divBdr>
        </w:div>
        <w:div w:id="658847214">
          <w:marLeft w:val="216"/>
          <w:marRight w:val="0"/>
          <w:marTop w:val="240"/>
          <w:marBottom w:val="0"/>
          <w:divBdr>
            <w:top w:val="none" w:sz="0" w:space="0" w:color="auto"/>
            <w:left w:val="none" w:sz="0" w:space="0" w:color="auto"/>
            <w:bottom w:val="none" w:sz="0" w:space="0" w:color="auto"/>
            <w:right w:val="none" w:sz="0" w:space="0" w:color="auto"/>
          </w:divBdr>
        </w:div>
        <w:div w:id="1932737327">
          <w:marLeft w:val="216"/>
          <w:marRight w:val="0"/>
          <w:marTop w:val="240"/>
          <w:marBottom w:val="0"/>
          <w:divBdr>
            <w:top w:val="none" w:sz="0" w:space="0" w:color="auto"/>
            <w:left w:val="none" w:sz="0" w:space="0" w:color="auto"/>
            <w:bottom w:val="none" w:sz="0" w:space="0" w:color="auto"/>
            <w:right w:val="none" w:sz="0" w:space="0" w:color="auto"/>
          </w:divBdr>
        </w:div>
        <w:div w:id="717435691">
          <w:marLeft w:val="562"/>
          <w:marRight w:val="0"/>
          <w:marTop w:val="0"/>
          <w:marBottom w:val="0"/>
          <w:divBdr>
            <w:top w:val="none" w:sz="0" w:space="0" w:color="auto"/>
            <w:left w:val="none" w:sz="0" w:space="0" w:color="auto"/>
            <w:bottom w:val="none" w:sz="0" w:space="0" w:color="auto"/>
            <w:right w:val="none" w:sz="0" w:space="0" w:color="auto"/>
          </w:divBdr>
        </w:div>
        <w:div w:id="544492023">
          <w:marLeft w:val="216"/>
          <w:marRight w:val="0"/>
          <w:marTop w:val="240"/>
          <w:marBottom w:val="0"/>
          <w:divBdr>
            <w:top w:val="none" w:sz="0" w:space="0" w:color="auto"/>
            <w:left w:val="none" w:sz="0" w:space="0" w:color="auto"/>
            <w:bottom w:val="none" w:sz="0" w:space="0" w:color="auto"/>
            <w:right w:val="none" w:sz="0" w:space="0" w:color="auto"/>
          </w:divBdr>
        </w:div>
        <w:div w:id="196237106">
          <w:marLeft w:val="562"/>
          <w:marRight w:val="0"/>
          <w:marTop w:val="0"/>
          <w:marBottom w:val="0"/>
          <w:divBdr>
            <w:top w:val="none" w:sz="0" w:space="0" w:color="auto"/>
            <w:left w:val="none" w:sz="0" w:space="0" w:color="auto"/>
            <w:bottom w:val="none" w:sz="0" w:space="0" w:color="auto"/>
            <w:right w:val="none" w:sz="0" w:space="0" w:color="auto"/>
          </w:divBdr>
        </w:div>
        <w:div w:id="1867987940">
          <w:marLeft w:val="562"/>
          <w:marRight w:val="0"/>
          <w:marTop w:val="0"/>
          <w:marBottom w:val="0"/>
          <w:divBdr>
            <w:top w:val="none" w:sz="0" w:space="0" w:color="auto"/>
            <w:left w:val="none" w:sz="0" w:space="0" w:color="auto"/>
            <w:bottom w:val="none" w:sz="0" w:space="0" w:color="auto"/>
            <w:right w:val="none" w:sz="0" w:space="0" w:color="auto"/>
          </w:divBdr>
        </w:div>
        <w:div w:id="560288422">
          <w:marLeft w:val="216"/>
          <w:marRight w:val="0"/>
          <w:marTop w:val="240"/>
          <w:marBottom w:val="0"/>
          <w:divBdr>
            <w:top w:val="none" w:sz="0" w:space="0" w:color="auto"/>
            <w:left w:val="none" w:sz="0" w:space="0" w:color="auto"/>
            <w:bottom w:val="none" w:sz="0" w:space="0" w:color="auto"/>
            <w:right w:val="none" w:sz="0" w:space="0" w:color="auto"/>
          </w:divBdr>
        </w:div>
        <w:div w:id="2083134685">
          <w:marLeft w:val="562"/>
          <w:marRight w:val="0"/>
          <w:marTop w:val="0"/>
          <w:marBottom w:val="0"/>
          <w:divBdr>
            <w:top w:val="none" w:sz="0" w:space="0" w:color="auto"/>
            <w:left w:val="none" w:sz="0" w:space="0" w:color="auto"/>
            <w:bottom w:val="none" w:sz="0" w:space="0" w:color="auto"/>
            <w:right w:val="none" w:sz="0" w:space="0" w:color="auto"/>
          </w:divBdr>
        </w:div>
        <w:div w:id="1020424949">
          <w:marLeft w:val="216"/>
          <w:marRight w:val="0"/>
          <w:marTop w:val="240"/>
          <w:marBottom w:val="0"/>
          <w:divBdr>
            <w:top w:val="none" w:sz="0" w:space="0" w:color="auto"/>
            <w:left w:val="none" w:sz="0" w:space="0" w:color="auto"/>
            <w:bottom w:val="none" w:sz="0" w:space="0" w:color="auto"/>
            <w:right w:val="none" w:sz="0" w:space="0" w:color="auto"/>
          </w:divBdr>
        </w:div>
        <w:div w:id="426580722">
          <w:marLeft w:val="562"/>
          <w:marRight w:val="0"/>
          <w:marTop w:val="0"/>
          <w:marBottom w:val="0"/>
          <w:divBdr>
            <w:top w:val="none" w:sz="0" w:space="0" w:color="auto"/>
            <w:left w:val="none" w:sz="0" w:space="0" w:color="auto"/>
            <w:bottom w:val="none" w:sz="0" w:space="0" w:color="auto"/>
            <w:right w:val="none" w:sz="0" w:space="0" w:color="auto"/>
          </w:divBdr>
        </w:div>
      </w:divsChild>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24898401">
      <w:bodyDiv w:val="1"/>
      <w:marLeft w:val="0"/>
      <w:marRight w:val="0"/>
      <w:marTop w:val="0"/>
      <w:marBottom w:val="0"/>
      <w:divBdr>
        <w:top w:val="none" w:sz="0" w:space="0" w:color="auto"/>
        <w:left w:val="none" w:sz="0" w:space="0" w:color="auto"/>
        <w:bottom w:val="none" w:sz="0" w:space="0" w:color="auto"/>
        <w:right w:val="none" w:sz="0" w:space="0" w:color="auto"/>
      </w:divBdr>
    </w:div>
    <w:div w:id="1525171492">
      <w:bodyDiv w:val="1"/>
      <w:marLeft w:val="0"/>
      <w:marRight w:val="0"/>
      <w:marTop w:val="0"/>
      <w:marBottom w:val="0"/>
      <w:divBdr>
        <w:top w:val="none" w:sz="0" w:space="0" w:color="auto"/>
        <w:left w:val="none" w:sz="0" w:space="0" w:color="auto"/>
        <w:bottom w:val="none" w:sz="0" w:space="0" w:color="auto"/>
        <w:right w:val="none" w:sz="0" w:space="0" w:color="auto"/>
      </w:divBdr>
      <w:divsChild>
        <w:div w:id="662854">
          <w:marLeft w:val="547"/>
          <w:marRight w:val="0"/>
          <w:marTop w:val="0"/>
          <w:marBottom w:val="120"/>
          <w:divBdr>
            <w:top w:val="none" w:sz="0" w:space="0" w:color="auto"/>
            <w:left w:val="none" w:sz="0" w:space="0" w:color="auto"/>
            <w:bottom w:val="none" w:sz="0" w:space="0" w:color="auto"/>
            <w:right w:val="none" w:sz="0" w:space="0" w:color="auto"/>
          </w:divBdr>
        </w:div>
        <w:div w:id="645162728">
          <w:marLeft w:val="1166"/>
          <w:marRight w:val="0"/>
          <w:marTop w:val="0"/>
          <w:marBottom w:val="0"/>
          <w:divBdr>
            <w:top w:val="none" w:sz="0" w:space="0" w:color="auto"/>
            <w:left w:val="none" w:sz="0" w:space="0" w:color="auto"/>
            <w:bottom w:val="none" w:sz="0" w:space="0" w:color="auto"/>
            <w:right w:val="none" w:sz="0" w:space="0" w:color="auto"/>
          </w:divBdr>
        </w:div>
        <w:div w:id="586812245">
          <w:marLeft w:val="1166"/>
          <w:marRight w:val="0"/>
          <w:marTop w:val="120"/>
          <w:marBottom w:val="0"/>
          <w:divBdr>
            <w:top w:val="none" w:sz="0" w:space="0" w:color="auto"/>
            <w:left w:val="none" w:sz="0" w:space="0" w:color="auto"/>
            <w:bottom w:val="none" w:sz="0" w:space="0" w:color="auto"/>
            <w:right w:val="none" w:sz="0" w:space="0" w:color="auto"/>
          </w:divBdr>
        </w:div>
        <w:div w:id="1611232847">
          <w:marLeft w:val="547"/>
          <w:marRight w:val="0"/>
          <w:marTop w:val="0"/>
          <w:marBottom w:val="12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98782866">
      <w:bodyDiv w:val="1"/>
      <w:marLeft w:val="0"/>
      <w:marRight w:val="0"/>
      <w:marTop w:val="0"/>
      <w:marBottom w:val="0"/>
      <w:divBdr>
        <w:top w:val="none" w:sz="0" w:space="0" w:color="auto"/>
        <w:left w:val="none" w:sz="0" w:space="0" w:color="auto"/>
        <w:bottom w:val="none" w:sz="0" w:space="0" w:color="auto"/>
        <w:right w:val="none" w:sz="0" w:space="0" w:color="auto"/>
      </w:divBdr>
      <w:divsChild>
        <w:div w:id="1163397243">
          <w:marLeft w:val="446"/>
          <w:marRight w:val="0"/>
          <w:marTop w:val="0"/>
          <w:marBottom w:val="0"/>
          <w:divBdr>
            <w:top w:val="none" w:sz="0" w:space="0" w:color="auto"/>
            <w:left w:val="none" w:sz="0" w:space="0" w:color="auto"/>
            <w:bottom w:val="none" w:sz="0" w:space="0" w:color="auto"/>
            <w:right w:val="none" w:sz="0" w:space="0" w:color="auto"/>
          </w:divBdr>
        </w:div>
        <w:div w:id="893394359">
          <w:marLeft w:val="446"/>
          <w:marRight w:val="0"/>
          <w:marTop w:val="0"/>
          <w:marBottom w:val="0"/>
          <w:divBdr>
            <w:top w:val="none" w:sz="0" w:space="0" w:color="auto"/>
            <w:left w:val="none" w:sz="0" w:space="0" w:color="auto"/>
            <w:bottom w:val="none" w:sz="0" w:space="0" w:color="auto"/>
            <w:right w:val="none" w:sz="0" w:space="0" w:color="auto"/>
          </w:divBdr>
        </w:div>
        <w:div w:id="1227910066">
          <w:marLeft w:val="446"/>
          <w:marRight w:val="0"/>
          <w:marTop w:val="0"/>
          <w:marBottom w:val="0"/>
          <w:divBdr>
            <w:top w:val="none" w:sz="0" w:space="0" w:color="auto"/>
            <w:left w:val="none" w:sz="0" w:space="0" w:color="auto"/>
            <w:bottom w:val="none" w:sz="0" w:space="0" w:color="auto"/>
            <w:right w:val="none" w:sz="0" w:space="0" w:color="auto"/>
          </w:divBdr>
        </w:div>
      </w:divsChild>
    </w:div>
    <w:div w:id="1603414713">
      <w:bodyDiv w:val="1"/>
      <w:marLeft w:val="0"/>
      <w:marRight w:val="0"/>
      <w:marTop w:val="0"/>
      <w:marBottom w:val="0"/>
      <w:divBdr>
        <w:top w:val="none" w:sz="0" w:space="0" w:color="auto"/>
        <w:left w:val="none" w:sz="0" w:space="0" w:color="auto"/>
        <w:bottom w:val="none" w:sz="0" w:space="0" w:color="auto"/>
        <w:right w:val="none" w:sz="0" w:space="0" w:color="auto"/>
      </w:divBdr>
      <w:divsChild>
        <w:div w:id="133525566">
          <w:marLeft w:val="274"/>
          <w:marRight w:val="0"/>
          <w:marTop w:val="180"/>
          <w:marBottom w:val="60"/>
          <w:divBdr>
            <w:top w:val="none" w:sz="0" w:space="0" w:color="auto"/>
            <w:left w:val="none" w:sz="0" w:space="0" w:color="auto"/>
            <w:bottom w:val="none" w:sz="0" w:space="0" w:color="auto"/>
            <w:right w:val="none" w:sz="0" w:space="0" w:color="auto"/>
          </w:divBdr>
        </w:div>
        <w:div w:id="613444981">
          <w:marLeft w:val="547"/>
          <w:marRight w:val="0"/>
          <w:marTop w:val="45"/>
          <w:marBottom w:val="45"/>
          <w:divBdr>
            <w:top w:val="none" w:sz="0" w:space="0" w:color="auto"/>
            <w:left w:val="none" w:sz="0" w:space="0" w:color="auto"/>
            <w:bottom w:val="none" w:sz="0" w:space="0" w:color="auto"/>
            <w:right w:val="none" w:sz="0" w:space="0" w:color="auto"/>
          </w:divBdr>
        </w:div>
        <w:div w:id="866142082">
          <w:marLeft w:val="547"/>
          <w:marRight w:val="0"/>
          <w:marTop w:val="45"/>
          <w:marBottom w:val="45"/>
          <w:divBdr>
            <w:top w:val="none" w:sz="0" w:space="0" w:color="auto"/>
            <w:left w:val="none" w:sz="0" w:space="0" w:color="auto"/>
            <w:bottom w:val="none" w:sz="0" w:space="0" w:color="auto"/>
            <w:right w:val="none" w:sz="0" w:space="0" w:color="auto"/>
          </w:divBdr>
        </w:div>
        <w:div w:id="1049452161">
          <w:marLeft w:val="274"/>
          <w:marRight w:val="0"/>
          <w:marTop w:val="180"/>
          <w:marBottom w:val="60"/>
          <w:divBdr>
            <w:top w:val="none" w:sz="0" w:space="0" w:color="auto"/>
            <w:left w:val="none" w:sz="0" w:space="0" w:color="auto"/>
            <w:bottom w:val="none" w:sz="0" w:space="0" w:color="auto"/>
            <w:right w:val="none" w:sz="0" w:space="0" w:color="auto"/>
          </w:divBdr>
        </w:div>
        <w:div w:id="1121462469">
          <w:marLeft w:val="547"/>
          <w:marRight w:val="0"/>
          <w:marTop w:val="45"/>
          <w:marBottom w:val="45"/>
          <w:divBdr>
            <w:top w:val="none" w:sz="0" w:space="0" w:color="auto"/>
            <w:left w:val="none" w:sz="0" w:space="0" w:color="auto"/>
            <w:bottom w:val="none" w:sz="0" w:space="0" w:color="auto"/>
            <w:right w:val="none" w:sz="0" w:space="0" w:color="auto"/>
          </w:divBdr>
        </w:div>
        <w:div w:id="1294866332">
          <w:marLeft w:val="274"/>
          <w:marRight w:val="0"/>
          <w:marTop w:val="180"/>
          <w:marBottom w:val="60"/>
          <w:divBdr>
            <w:top w:val="none" w:sz="0" w:space="0" w:color="auto"/>
            <w:left w:val="none" w:sz="0" w:space="0" w:color="auto"/>
            <w:bottom w:val="none" w:sz="0" w:space="0" w:color="auto"/>
            <w:right w:val="none" w:sz="0" w:space="0" w:color="auto"/>
          </w:divBdr>
        </w:div>
        <w:div w:id="1314720742">
          <w:marLeft w:val="274"/>
          <w:marRight w:val="0"/>
          <w:marTop w:val="180"/>
          <w:marBottom w:val="60"/>
          <w:divBdr>
            <w:top w:val="none" w:sz="0" w:space="0" w:color="auto"/>
            <w:left w:val="none" w:sz="0" w:space="0" w:color="auto"/>
            <w:bottom w:val="none" w:sz="0" w:space="0" w:color="auto"/>
            <w:right w:val="none" w:sz="0" w:space="0" w:color="auto"/>
          </w:divBdr>
        </w:div>
        <w:div w:id="1321885709">
          <w:marLeft w:val="547"/>
          <w:marRight w:val="0"/>
          <w:marTop w:val="45"/>
          <w:marBottom w:val="45"/>
          <w:divBdr>
            <w:top w:val="none" w:sz="0" w:space="0" w:color="auto"/>
            <w:left w:val="none" w:sz="0" w:space="0" w:color="auto"/>
            <w:bottom w:val="none" w:sz="0" w:space="0" w:color="auto"/>
            <w:right w:val="none" w:sz="0" w:space="0" w:color="auto"/>
          </w:divBdr>
        </w:div>
        <w:div w:id="1597324278">
          <w:marLeft w:val="547"/>
          <w:marRight w:val="0"/>
          <w:marTop w:val="45"/>
          <w:marBottom w:val="45"/>
          <w:divBdr>
            <w:top w:val="none" w:sz="0" w:space="0" w:color="auto"/>
            <w:left w:val="none" w:sz="0" w:space="0" w:color="auto"/>
            <w:bottom w:val="none" w:sz="0" w:space="0" w:color="auto"/>
            <w:right w:val="none" w:sz="0" w:space="0" w:color="auto"/>
          </w:divBdr>
        </w:div>
        <w:div w:id="1853101308">
          <w:marLeft w:val="274"/>
          <w:marRight w:val="0"/>
          <w:marTop w:val="180"/>
          <w:marBottom w:val="60"/>
          <w:divBdr>
            <w:top w:val="none" w:sz="0" w:space="0" w:color="auto"/>
            <w:left w:val="none" w:sz="0" w:space="0" w:color="auto"/>
            <w:bottom w:val="none" w:sz="0" w:space="0" w:color="auto"/>
            <w:right w:val="none" w:sz="0" w:space="0" w:color="auto"/>
          </w:divBdr>
        </w:div>
        <w:div w:id="1970816581">
          <w:marLeft w:val="274"/>
          <w:marRight w:val="0"/>
          <w:marTop w:val="180"/>
          <w:marBottom w:val="60"/>
          <w:divBdr>
            <w:top w:val="none" w:sz="0" w:space="0" w:color="auto"/>
            <w:left w:val="none" w:sz="0" w:space="0" w:color="auto"/>
            <w:bottom w:val="none" w:sz="0" w:space="0" w:color="auto"/>
            <w:right w:val="none" w:sz="0" w:space="0" w:color="auto"/>
          </w:divBdr>
        </w:div>
      </w:divsChild>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721972184">
      <w:bodyDiv w:val="1"/>
      <w:marLeft w:val="0"/>
      <w:marRight w:val="0"/>
      <w:marTop w:val="0"/>
      <w:marBottom w:val="0"/>
      <w:divBdr>
        <w:top w:val="none" w:sz="0" w:space="0" w:color="auto"/>
        <w:left w:val="none" w:sz="0" w:space="0" w:color="auto"/>
        <w:bottom w:val="none" w:sz="0" w:space="0" w:color="auto"/>
        <w:right w:val="none" w:sz="0" w:space="0" w:color="auto"/>
      </w:divBdr>
      <w:divsChild>
        <w:div w:id="538055839">
          <w:marLeft w:val="547"/>
          <w:marRight w:val="0"/>
          <w:marTop w:val="0"/>
          <w:marBottom w:val="0"/>
          <w:divBdr>
            <w:top w:val="none" w:sz="0" w:space="0" w:color="auto"/>
            <w:left w:val="none" w:sz="0" w:space="0" w:color="auto"/>
            <w:bottom w:val="none" w:sz="0" w:space="0" w:color="auto"/>
            <w:right w:val="none" w:sz="0" w:space="0" w:color="auto"/>
          </w:divBdr>
        </w:div>
        <w:div w:id="687609701">
          <w:marLeft w:val="547"/>
          <w:marRight w:val="0"/>
          <w:marTop w:val="0"/>
          <w:marBottom w:val="0"/>
          <w:divBdr>
            <w:top w:val="none" w:sz="0" w:space="0" w:color="auto"/>
            <w:left w:val="none" w:sz="0" w:space="0" w:color="auto"/>
            <w:bottom w:val="none" w:sz="0" w:space="0" w:color="auto"/>
            <w:right w:val="none" w:sz="0" w:space="0" w:color="auto"/>
          </w:divBdr>
        </w:div>
        <w:div w:id="1495416981">
          <w:marLeft w:val="0"/>
          <w:marRight w:val="0"/>
          <w:marTop w:val="0"/>
          <w:marBottom w:val="100"/>
          <w:divBdr>
            <w:top w:val="none" w:sz="0" w:space="0" w:color="auto"/>
            <w:left w:val="none" w:sz="0" w:space="0" w:color="auto"/>
            <w:bottom w:val="none" w:sz="0" w:space="0" w:color="auto"/>
            <w:right w:val="none" w:sz="0" w:space="0" w:color="auto"/>
          </w:divBdr>
        </w:div>
        <w:div w:id="1200052770">
          <w:marLeft w:val="547"/>
          <w:marRight w:val="0"/>
          <w:marTop w:val="0"/>
          <w:marBottom w:val="0"/>
          <w:divBdr>
            <w:top w:val="none" w:sz="0" w:space="0" w:color="auto"/>
            <w:left w:val="none" w:sz="0" w:space="0" w:color="auto"/>
            <w:bottom w:val="none" w:sz="0" w:space="0" w:color="auto"/>
            <w:right w:val="none" w:sz="0" w:space="0" w:color="auto"/>
          </w:divBdr>
        </w:div>
        <w:div w:id="569459619">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726642855">
      <w:bodyDiv w:val="1"/>
      <w:marLeft w:val="0"/>
      <w:marRight w:val="0"/>
      <w:marTop w:val="0"/>
      <w:marBottom w:val="0"/>
      <w:divBdr>
        <w:top w:val="none" w:sz="0" w:space="0" w:color="auto"/>
        <w:left w:val="none" w:sz="0" w:space="0" w:color="auto"/>
        <w:bottom w:val="none" w:sz="0" w:space="0" w:color="auto"/>
        <w:right w:val="none" w:sz="0" w:space="0" w:color="auto"/>
      </w:divBdr>
      <w:divsChild>
        <w:div w:id="1496917194">
          <w:marLeft w:val="0"/>
          <w:marRight w:val="0"/>
          <w:marTop w:val="120"/>
          <w:marBottom w:val="100"/>
          <w:divBdr>
            <w:top w:val="none" w:sz="0" w:space="0" w:color="auto"/>
            <w:left w:val="none" w:sz="0" w:space="0" w:color="auto"/>
            <w:bottom w:val="none" w:sz="0" w:space="0" w:color="auto"/>
            <w:right w:val="none" w:sz="0" w:space="0" w:color="auto"/>
          </w:divBdr>
        </w:div>
        <w:div w:id="1666593588">
          <w:marLeft w:val="893"/>
          <w:marRight w:val="0"/>
          <w:marTop w:val="45"/>
          <w:marBottom w:val="45"/>
          <w:divBdr>
            <w:top w:val="none" w:sz="0" w:space="0" w:color="auto"/>
            <w:left w:val="none" w:sz="0" w:space="0" w:color="auto"/>
            <w:bottom w:val="none" w:sz="0" w:space="0" w:color="auto"/>
            <w:right w:val="none" w:sz="0" w:space="0" w:color="auto"/>
          </w:divBdr>
        </w:div>
        <w:div w:id="2134975558">
          <w:marLeft w:val="893"/>
          <w:marRight w:val="0"/>
          <w:marTop w:val="45"/>
          <w:marBottom w:val="45"/>
          <w:divBdr>
            <w:top w:val="none" w:sz="0" w:space="0" w:color="auto"/>
            <w:left w:val="none" w:sz="0" w:space="0" w:color="auto"/>
            <w:bottom w:val="none" w:sz="0" w:space="0" w:color="auto"/>
            <w:right w:val="none" w:sz="0" w:space="0" w:color="auto"/>
          </w:divBdr>
        </w:div>
        <w:div w:id="1160192635">
          <w:marLeft w:val="1195"/>
          <w:marRight w:val="0"/>
          <w:marTop w:val="180"/>
          <w:marBottom w:val="60"/>
          <w:divBdr>
            <w:top w:val="none" w:sz="0" w:space="0" w:color="auto"/>
            <w:left w:val="none" w:sz="0" w:space="0" w:color="auto"/>
            <w:bottom w:val="none" w:sz="0" w:space="0" w:color="auto"/>
            <w:right w:val="none" w:sz="0" w:space="0" w:color="auto"/>
          </w:divBdr>
        </w:div>
      </w:divsChild>
    </w:div>
    <w:div w:id="1754426216">
      <w:bodyDiv w:val="1"/>
      <w:marLeft w:val="0"/>
      <w:marRight w:val="0"/>
      <w:marTop w:val="0"/>
      <w:marBottom w:val="0"/>
      <w:divBdr>
        <w:top w:val="none" w:sz="0" w:space="0" w:color="auto"/>
        <w:left w:val="none" w:sz="0" w:space="0" w:color="auto"/>
        <w:bottom w:val="none" w:sz="0" w:space="0" w:color="auto"/>
        <w:right w:val="none" w:sz="0" w:space="0" w:color="auto"/>
      </w:divBdr>
      <w:divsChild>
        <w:div w:id="985548145">
          <w:marLeft w:val="0"/>
          <w:marRight w:val="0"/>
          <w:marTop w:val="120"/>
          <w:marBottom w:val="120"/>
          <w:divBdr>
            <w:top w:val="none" w:sz="0" w:space="0" w:color="auto"/>
            <w:left w:val="none" w:sz="0" w:space="0" w:color="auto"/>
            <w:bottom w:val="none" w:sz="0" w:space="0" w:color="auto"/>
            <w:right w:val="none" w:sz="0" w:space="0" w:color="auto"/>
          </w:divBdr>
        </w:div>
        <w:div w:id="352999230">
          <w:marLeft w:val="1166"/>
          <w:marRight w:val="0"/>
          <w:marTop w:val="120"/>
          <w:marBottom w:val="120"/>
          <w:divBdr>
            <w:top w:val="none" w:sz="0" w:space="0" w:color="auto"/>
            <w:left w:val="none" w:sz="0" w:space="0" w:color="auto"/>
            <w:bottom w:val="none" w:sz="0" w:space="0" w:color="auto"/>
            <w:right w:val="none" w:sz="0" w:space="0" w:color="auto"/>
          </w:divBdr>
        </w:div>
        <w:div w:id="367490022">
          <w:marLeft w:val="1800"/>
          <w:marRight w:val="0"/>
          <w:marTop w:val="120"/>
          <w:marBottom w:val="120"/>
          <w:divBdr>
            <w:top w:val="none" w:sz="0" w:space="0" w:color="auto"/>
            <w:left w:val="none" w:sz="0" w:space="0" w:color="auto"/>
            <w:bottom w:val="none" w:sz="0" w:space="0" w:color="auto"/>
            <w:right w:val="none" w:sz="0" w:space="0" w:color="auto"/>
          </w:divBdr>
        </w:div>
        <w:div w:id="15279611">
          <w:marLeft w:val="1800"/>
          <w:marRight w:val="0"/>
          <w:marTop w:val="120"/>
          <w:marBottom w:val="120"/>
          <w:divBdr>
            <w:top w:val="none" w:sz="0" w:space="0" w:color="auto"/>
            <w:left w:val="none" w:sz="0" w:space="0" w:color="auto"/>
            <w:bottom w:val="none" w:sz="0" w:space="0" w:color="auto"/>
            <w:right w:val="none" w:sz="0" w:space="0" w:color="auto"/>
          </w:divBdr>
        </w:div>
        <w:div w:id="1250189149">
          <w:marLeft w:val="1800"/>
          <w:marRight w:val="0"/>
          <w:marTop w:val="120"/>
          <w:marBottom w:val="120"/>
          <w:divBdr>
            <w:top w:val="none" w:sz="0" w:space="0" w:color="auto"/>
            <w:left w:val="none" w:sz="0" w:space="0" w:color="auto"/>
            <w:bottom w:val="none" w:sz="0" w:space="0" w:color="auto"/>
            <w:right w:val="none" w:sz="0" w:space="0" w:color="auto"/>
          </w:divBdr>
        </w:div>
        <w:div w:id="1903248170">
          <w:marLeft w:val="1152"/>
          <w:marRight w:val="0"/>
          <w:marTop w:val="30"/>
          <w:marBottom w:val="30"/>
          <w:divBdr>
            <w:top w:val="none" w:sz="0" w:space="0" w:color="auto"/>
            <w:left w:val="none" w:sz="0" w:space="0" w:color="auto"/>
            <w:bottom w:val="none" w:sz="0" w:space="0" w:color="auto"/>
            <w:right w:val="none" w:sz="0" w:space="0" w:color="auto"/>
          </w:divBdr>
        </w:div>
        <w:div w:id="1630747741">
          <w:marLeft w:val="1800"/>
          <w:marRight w:val="0"/>
          <w:marTop w:val="0"/>
          <w:marBottom w:val="0"/>
          <w:divBdr>
            <w:top w:val="none" w:sz="0" w:space="0" w:color="auto"/>
            <w:left w:val="none" w:sz="0" w:space="0" w:color="auto"/>
            <w:bottom w:val="none" w:sz="0" w:space="0" w:color="auto"/>
            <w:right w:val="none" w:sz="0" w:space="0" w:color="auto"/>
          </w:divBdr>
        </w:div>
        <w:div w:id="1881235389">
          <w:marLeft w:val="1166"/>
          <w:marRight w:val="0"/>
          <w:marTop w:val="120"/>
          <w:marBottom w:val="120"/>
          <w:divBdr>
            <w:top w:val="none" w:sz="0" w:space="0" w:color="auto"/>
            <w:left w:val="none" w:sz="0" w:space="0" w:color="auto"/>
            <w:bottom w:val="none" w:sz="0" w:space="0" w:color="auto"/>
            <w:right w:val="none" w:sz="0" w:space="0" w:color="auto"/>
          </w:divBdr>
        </w:div>
      </w:divsChild>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24813108">
      <w:bodyDiv w:val="1"/>
      <w:marLeft w:val="0"/>
      <w:marRight w:val="0"/>
      <w:marTop w:val="0"/>
      <w:marBottom w:val="0"/>
      <w:divBdr>
        <w:top w:val="none" w:sz="0" w:space="0" w:color="auto"/>
        <w:left w:val="none" w:sz="0" w:space="0" w:color="auto"/>
        <w:bottom w:val="none" w:sz="0" w:space="0" w:color="auto"/>
        <w:right w:val="none" w:sz="0" w:space="0" w:color="auto"/>
      </w:divBdr>
    </w:div>
    <w:div w:id="1840541452">
      <w:bodyDiv w:val="1"/>
      <w:marLeft w:val="0"/>
      <w:marRight w:val="0"/>
      <w:marTop w:val="0"/>
      <w:marBottom w:val="0"/>
      <w:divBdr>
        <w:top w:val="none" w:sz="0" w:space="0" w:color="auto"/>
        <w:left w:val="none" w:sz="0" w:space="0" w:color="auto"/>
        <w:bottom w:val="none" w:sz="0" w:space="0" w:color="auto"/>
        <w:right w:val="none" w:sz="0" w:space="0" w:color="auto"/>
      </w:divBdr>
    </w:div>
    <w:div w:id="1850756859">
      <w:bodyDiv w:val="1"/>
      <w:marLeft w:val="0"/>
      <w:marRight w:val="0"/>
      <w:marTop w:val="0"/>
      <w:marBottom w:val="0"/>
      <w:divBdr>
        <w:top w:val="none" w:sz="0" w:space="0" w:color="auto"/>
        <w:left w:val="none" w:sz="0" w:space="0" w:color="auto"/>
        <w:bottom w:val="none" w:sz="0" w:space="0" w:color="auto"/>
        <w:right w:val="none" w:sz="0" w:space="0" w:color="auto"/>
      </w:divBdr>
      <w:divsChild>
        <w:div w:id="1559710898">
          <w:marLeft w:val="547"/>
          <w:marRight w:val="0"/>
          <w:marTop w:val="45"/>
          <w:marBottom w:val="45"/>
          <w:divBdr>
            <w:top w:val="none" w:sz="0" w:space="0" w:color="auto"/>
            <w:left w:val="none" w:sz="0" w:space="0" w:color="auto"/>
            <w:bottom w:val="none" w:sz="0" w:space="0" w:color="auto"/>
            <w:right w:val="none" w:sz="0" w:space="0" w:color="auto"/>
          </w:divBdr>
        </w:div>
      </w:divsChild>
    </w:div>
    <w:div w:id="1911572420">
      <w:bodyDiv w:val="1"/>
      <w:marLeft w:val="0"/>
      <w:marRight w:val="0"/>
      <w:marTop w:val="0"/>
      <w:marBottom w:val="0"/>
      <w:divBdr>
        <w:top w:val="none" w:sz="0" w:space="0" w:color="auto"/>
        <w:left w:val="none" w:sz="0" w:space="0" w:color="auto"/>
        <w:bottom w:val="none" w:sz="0" w:space="0" w:color="auto"/>
        <w:right w:val="none" w:sz="0" w:space="0" w:color="auto"/>
      </w:divBdr>
    </w:div>
    <w:div w:id="1976253334">
      <w:bodyDiv w:val="1"/>
      <w:marLeft w:val="0"/>
      <w:marRight w:val="0"/>
      <w:marTop w:val="0"/>
      <w:marBottom w:val="0"/>
      <w:divBdr>
        <w:top w:val="none" w:sz="0" w:space="0" w:color="auto"/>
        <w:left w:val="none" w:sz="0" w:space="0" w:color="auto"/>
        <w:bottom w:val="none" w:sz="0" w:space="0" w:color="auto"/>
        <w:right w:val="none" w:sz="0" w:space="0" w:color="auto"/>
      </w:divBdr>
      <w:divsChild>
        <w:div w:id="1708220312">
          <w:marLeft w:val="216"/>
          <w:marRight w:val="0"/>
          <w:marTop w:val="24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061054192">
      <w:bodyDiv w:val="1"/>
      <w:marLeft w:val="0"/>
      <w:marRight w:val="0"/>
      <w:marTop w:val="0"/>
      <w:marBottom w:val="0"/>
      <w:divBdr>
        <w:top w:val="none" w:sz="0" w:space="0" w:color="auto"/>
        <w:left w:val="none" w:sz="0" w:space="0" w:color="auto"/>
        <w:bottom w:val="none" w:sz="0" w:space="0" w:color="auto"/>
        <w:right w:val="none" w:sz="0" w:space="0" w:color="auto"/>
      </w:divBdr>
      <w:divsChild>
        <w:div w:id="1175415105">
          <w:marLeft w:val="547"/>
          <w:marRight w:val="0"/>
          <w:marTop w:val="45"/>
          <w:marBottom w:val="45"/>
          <w:divBdr>
            <w:top w:val="none" w:sz="0" w:space="0" w:color="auto"/>
            <w:left w:val="none" w:sz="0" w:space="0" w:color="auto"/>
            <w:bottom w:val="none" w:sz="0" w:space="0" w:color="auto"/>
            <w:right w:val="none" w:sz="0" w:space="0" w:color="auto"/>
          </w:divBdr>
        </w:div>
        <w:div w:id="1188838524">
          <w:marLeft w:val="274"/>
          <w:marRight w:val="0"/>
          <w:marTop w:val="180"/>
          <w:marBottom w:val="60"/>
          <w:divBdr>
            <w:top w:val="none" w:sz="0" w:space="0" w:color="auto"/>
            <w:left w:val="none" w:sz="0" w:space="0" w:color="auto"/>
            <w:bottom w:val="none" w:sz="0" w:space="0" w:color="auto"/>
            <w:right w:val="none" w:sz="0" w:space="0" w:color="auto"/>
          </w:divBdr>
        </w:div>
        <w:div w:id="1920628474">
          <w:marLeft w:val="547"/>
          <w:marRight w:val="0"/>
          <w:marTop w:val="45"/>
          <w:marBottom w:val="45"/>
          <w:divBdr>
            <w:top w:val="none" w:sz="0" w:space="0" w:color="auto"/>
            <w:left w:val="none" w:sz="0" w:space="0" w:color="auto"/>
            <w:bottom w:val="none" w:sz="0" w:space="0" w:color="auto"/>
            <w:right w:val="none" w:sz="0" w:space="0" w:color="auto"/>
          </w:divBdr>
        </w:div>
      </w:divsChild>
    </w:div>
    <w:div w:id="2068527237">
      <w:bodyDiv w:val="1"/>
      <w:marLeft w:val="0"/>
      <w:marRight w:val="0"/>
      <w:marTop w:val="0"/>
      <w:marBottom w:val="0"/>
      <w:divBdr>
        <w:top w:val="none" w:sz="0" w:space="0" w:color="auto"/>
        <w:left w:val="none" w:sz="0" w:space="0" w:color="auto"/>
        <w:bottom w:val="none" w:sz="0" w:space="0" w:color="auto"/>
        <w:right w:val="none" w:sz="0" w:space="0" w:color="auto"/>
      </w:divBdr>
      <w:divsChild>
        <w:div w:id="2092114096">
          <w:marLeft w:val="1166"/>
          <w:marRight w:val="0"/>
          <w:marTop w:val="0"/>
          <w:marBottom w:val="0"/>
          <w:divBdr>
            <w:top w:val="none" w:sz="0" w:space="0" w:color="auto"/>
            <w:left w:val="none" w:sz="0" w:space="0" w:color="auto"/>
            <w:bottom w:val="none" w:sz="0" w:space="0" w:color="auto"/>
            <w:right w:val="none" w:sz="0" w:space="0" w:color="auto"/>
          </w:divBdr>
        </w:div>
        <w:div w:id="229652741">
          <w:marLeft w:val="1166"/>
          <w:marRight w:val="0"/>
          <w:marTop w:val="0"/>
          <w:marBottom w:val="0"/>
          <w:divBdr>
            <w:top w:val="none" w:sz="0" w:space="0" w:color="auto"/>
            <w:left w:val="none" w:sz="0" w:space="0" w:color="auto"/>
            <w:bottom w:val="none" w:sz="0" w:space="0" w:color="auto"/>
            <w:right w:val="none" w:sz="0" w:space="0" w:color="auto"/>
          </w:divBdr>
        </w:div>
        <w:div w:id="1513954372">
          <w:marLeft w:val="1166"/>
          <w:marRight w:val="0"/>
          <w:marTop w:val="0"/>
          <w:marBottom w:val="0"/>
          <w:divBdr>
            <w:top w:val="none" w:sz="0" w:space="0" w:color="auto"/>
            <w:left w:val="none" w:sz="0" w:space="0" w:color="auto"/>
            <w:bottom w:val="none" w:sz="0" w:space="0" w:color="auto"/>
            <w:right w:val="none" w:sz="0" w:space="0" w:color="auto"/>
          </w:divBdr>
        </w:div>
      </w:divsChild>
    </w:div>
    <w:div w:id="2144809445">
      <w:bodyDiv w:val="1"/>
      <w:marLeft w:val="0"/>
      <w:marRight w:val="0"/>
      <w:marTop w:val="0"/>
      <w:marBottom w:val="0"/>
      <w:divBdr>
        <w:top w:val="none" w:sz="0" w:space="0" w:color="auto"/>
        <w:left w:val="none" w:sz="0" w:space="0" w:color="auto"/>
        <w:bottom w:val="none" w:sz="0" w:space="0" w:color="auto"/>
        <w:right w:val="none" w:sz="0" w:space="0" w:color="auto"/>
      </w:divBdr>
      <w:divsChild>
        <w:div w:id="1236166315">
          <w:marLeft w:val="547"/>
          <w:marRight w:val="0"/>
          <w:marTop w:val="45"/>
          <w:marBottom w:val="45"/>
          <w:divBdr>
            <w:top w:val="none" w:sz="0" w:space="0" w:color="auto"/>
            <w:left w:val="none" w:sz="0" w:space="0" w:color="auto"/>
            <w:bottom w:val="none" w:sz="0" w:space="0" w:color="auto"/>
            <w:right w:val="none" w:sz="0" w:space="0" w:color="auto"/>
          </w:divBdr>
        </w:div>
        <w:div w:id="1241481012">
          <w:marLeft w:val="547"/>
          <w:marRight w:val="0"/>
          <w:marTop w:val="45"/>
          <w:marBottom w:val="45"/>
          <w:divBdr>
            <w:top w:val="none" w:sz="0" w:space="0" w:color="auto"/>
            <w:left w:val="none" w:sz="0" w:space="0" w:color="auto"/>
            <w:bottom w:val="none" w:sz="0" w:space="0" w:color="auto"/>
            <w:right w:val="none" w:sz="0" w:space="0" w:color="auto"/>
          </w:divBdr>
        </w:div>
        <w:div w:id="246118055">
          <w:marLeft w:val="547"/>
          <w:marRight w:val="0"/>
          <w:marTop w:val="45"/>
          <w:marBottom w:val="4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CCA96-44EE-48BB-BF30-4ED25DF50D19}">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42</Pages>
  <Words>14278</Words>
  <Characters>81388</Characters>
  <Application>Microsoft Office Word</Application>
  <DocSecurity>0</DocSecurity>
  <Lines>678</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95476</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2023-02-17T22:43:00Z</dcterms:created>
  <dcterms:modified xsi:type="dcterms:W3CDTF">2023-05-14T23:28:00Z</dcterms:modified>
</cp:coreProperties>
</file>